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E" w:rsidRPr="00FB09D3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9D3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  <w:r w:rsidR="00F032A7" w:rsidRPr="00FB0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9D3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9D3">
        <w:rPr>
          <w:rFonts w:ascii="Times New Roman" w:hAnsi="Times New Roman" w:cs="Times New Roman"/>
          <w:b/>
          <w:sz w:val="24"/>
          <w:szCs w:val="24"/>
        </w:rPr>
        <w:t xml:space="preserve">о ходе исполнения бюджета муниципального образования «Колпашевский район» </w:t>
      </w:r>
    </w:p>
    <w:p w:rsidR="0038224D" w:rsidRPr="00FB09D3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9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05F3" w:rsidRPr="00FB09D3">
        <w:rPr>
          <w:rFonts w:ascii="Times New Roman" w:hAnsi="Times New Roman" w:cs="Times New Roman"/>
          <w:b/>
          <w:sz w:val="24"/>
          <w:szCs w:val="24"/>
        </w:rPr>
        <w:t>1</w:t>
      </w:r>
      <w:r w:rsidRPr="00FB0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3F4" w:rsidRPr="00FB09D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EC574F" w:rsidRPr="00FB09D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FB09D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05F3" w:rsidRPr="00FB09D3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75DE" w:rsidRPr="00FB09D3" w:rsidRDefault="00D675DE" w:rsidP="00AC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 xml:space="preserve">г. Колпашево                    </w:t>
      </w:r>
      <w:r w:rsidR="00AC05F3" w:rsidRPr="00FB09D3">
        <w:rPr>
          <w:rFonts w:ascii="Times New Roman" w:hAnsi="Times New Roman"/>
          <w:sz w:val="24"/>
          <w:szCs w:val="24"/>
        </w:rPr>
        <w:t xml:space="preserve">          </w:t>
      </w:r>
      <w:r w:rsidRPr="00FB09D3">
        <w:rPr>
          <w:rFonts w:ascii="Times New Roman" w:hAnsi="Times New Roman"/>
          <w:sz w:val="24"/>
          <w:szCs w:val="24"/>
        </w:rPr>
        <w:t xml:space="preserve">                 </w:t>
      </w:r>
      <w:r w:rsidR="008D53F4" w:rsidRPr="00FB09D3">
        <w:rPr>
          <w:rFonts w:ascii="Times New Roman" w:hAnsi="Times New Roman"/>
          <w:sz w:val="24"/>
          <w:szCs w:val="24"/>
        </w:rPr>
        <w:t xml:space="preserve">                          </w:t>
      </w:r>
      <w:r w:rsidR="00FB09D3">
        <w:rPr>
          <w:rFonts w:ascii="Times New Roman" w:hAnsi="Times New Roman"/>
          <w:sz w:val="24"/>
          <w:szCs w:val="24"/>
        </w:rPr>
        <w:t xml:space="preserve">                     </w:t>
      </w:r>
      <w:r w:rsidR="00CA68BC" w:rsidRPr="00FB09D3">
        <w:rPr>
          <w:rFonts w:ascii="Times New Roman" w:hAnsi="Times New Roman"/>
          <w:sz w:val="24"/>
          <w:szCs w:val="24"/>
        </w:rPr>
        <w:t xml:space="preserve"> </w:t>
      </w:r>
      <w:r w:rsidRPr="00FB09D3">
        <w:rPr>
          <w:rFonts w:ascii="Times New Roman" w:hAnsi="Times New Roman"/>
          <w:sz w:val="24"/>
          <w:szCs w:val="24"/>
        </w:rPr>
        <w:t xml:space="preserve"> </w:t>
      </w:r>
      <w:r w:rsidR="008D6B14" w:rsidRPr="00FB09D3">
        <w:rPr>
          <w:rFonts w:ascii="Times New Roman" w:hAnsi="Times New Roman"/>
          <w:sz w:val="24"/>
          <w:szCs w:val="24"/>
        </w:rPr>
        <w:t xml:space="preserve">  </w:t>
      </w:r>
      <w:r w:rsidRPr="00FB09D3">
        <w:rPr>
          <w:rFonts w:ascii="Times New Roman" w:hAnsi="Times New Roman"/>
          <w:sz w:val="24"/>
          <w:szCs w:val="24"/>
        </w:rPr>
        <w:t xml:space="preserve"> </w:t>
      </w:r>
      <w:r w:rsidR="00346C37" w:rsidRPr="00FB09D3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8D6B14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C8B" w:rsidRPr="00FB09D3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EC574F" w:rsidRPr="00FB09D3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FB09D3">
        <w:rPr>
          <w:rFonts w:ascii="Times New Roman" w:hAnsi="Times New Roman"/>
          <w:sz w:val="24"/>
          <w:szCs w:val="24"/>
        </w:rPr>
        <w:t>.</w:t>
      </w:r>
    </w:p>
    <w:p w:rsidR="00AC05F3" w:rsidRPr="00FB09D3" w:rsidRDefault="00AC05F3" w:rsidP="00AC05F3">
      <w:pPr>
        <w:pStyle w:val="Default"/>
        <w:rPr>
          <w:sz w:val="16"/>
          <w:szCs w:val="16"/>
        </w:rPr>
      </w:pPr>
    </w:p>
    <w:p w:rsidR="00AC05F3" w:rsidRPr="00FB09D3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sz w:val="24"/>
          <w:szCs w:val="24"/>
        </w:rPr>
        <w:t xml:space="preserve"> </w:t>
      </w:r>
      <w:r w:rsidRPr="00FB09D3">
        <w:rPr>
          <w:sz w:val="24"/>
          <w:szCs w:val="24"/>
        </w:rPr>
        <w:tab/>
      </w:r>
      <w:proofErr w:type="gram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Аналитическая записка о ходе исполнения бюджета муниципального образования «Колпашевский район» за 1 </w:t>
      </w:r>
      <w:r w:rsidR="00BC27F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="00C9129E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BC27F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подготовлена Счетной палатой </w:t>
      </w:r>
      <w:proofErr w:type="spell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со ст. 157, 264.1, 264.2 Бюджетного кодекса Российской Федерации</w:t>
      </w:r>
      <w:r w:rsidR="008B6CE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БК РФ)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6-ФЗ «Об общих принципах</w:t>
      </w:r>
      <w:proofErr w:type="gram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 w:rsidR="007B61A1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ст. 40 Устава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61A1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BE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4 Положения </w:t>
      </w:r>
      <w:r w:rsidR="005B6F80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Счетной палате </w:t>
      </w:r>
      <w:proofErr w:type="spellStart"/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утвержденным решением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proofErr w:type="spellStart"/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23.04.2012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EC762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07BE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бюджетном процессе в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образовании «Колпашевский район»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решением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</w:t>
      </w:r>
      <w:proofErr w:type="spellStart"/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24.03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B4DEF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446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100C" w:rsidRPr="00FB09D3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анализа исполнения бюджета предусмотрено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раздела «Экспертно - аналитические мероприятия» Плана работы Счетной палаты </w:t>
      </w:r>
      <w:proofErr w:type="spell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приказом от 29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07BE" w:rsidRPr="00FB09D3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ab/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Настоящая аналитическая записка подготовлена на основе проведенного а</w:t>
      </w:r>
      <w:r w:rsidR="006B5BBB" w:rsidRPr="00FB09D3">
        <w:rPr>
          <w:rFonts w:ascii="Times New Roman" w:hAnsi="Times New Roman"/>
          <w:color w:val="000000" w:themeColor="text1"/>
          <w:sz w:val="24"/>
          <w:szCs w:val="24"/>
        </w:rPr>
        <w:t>нализа данных, отраженных в отчё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те </w:t>
      </w:r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бюджета муниципального образования «Колпашевский район» за 1 </w:t>
      </w:r>
      <w:r w:rsidR="00113F63" w:rsidRPr="00FB09D3">
        <w:rPr>
          <w:rFonts w:ascii="Times New Roman" w:hAnsi="Times New Roman"/>
          <w:color w:val="000000" w:themeColor="text1"/>
          <w:sz w:val="24"/>
          <w:szCs w:val="24"/>
        </w:rPr>
        <w:t>полугодие</w:t>
      </w:r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года, представленном Администрацией </w:t>
      </w:r>
      <w:proofErr w:type="spellStart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>Колпашевского</w:t>
      </w:r>
      <w:proofErr w:type="spellEnd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района в Счетную палату </w:t>
      </w:r>
      <w:proofErr w:type="spellStart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>Колпашевского</w:t>
      </w:r>
      <w:proofErr w:type="spellEnd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района в соответствии с требованиями статьи 264.2 </w:t>
      </w:r>
      <w:r w:rsidR="008B6CE9" w:rsidRPr="00FB09D3">
        <w:rPr>
          <w:rFonts w:ascii="Times New Roman" w:hAnsi="Times New Roman"/>
          <w:color w:val="000000" w:themeColor="text1"/>
          <w:sz w:val="24"/>
          <w:szCs w:val="24"/>
        </w:rPr>
        <w:t>БК</w:t>
      </w:r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РФ (распоряжение Администрации </w:t>
      </w:r>
      <w:proofErr w:type="spellStart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>Колпашевского</w:t>
      </w:r>
      <w:proofErr w:type="spellEnd"/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района от </w:t>
      </w:r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596C8B" w:rsidRPr="00FB09D3">
        <w:rPr>
          <w:rFonts w:ascii="Times New Roman" w:hAnsi="Times New Roman"/>
          <w:color w:val="000000" w:themeColor="text1"/>
          <w:sz w:val="24"/>
          <w:szCs w:val="24"/>
        </w:rPr>
        <w:t>.07</w:t>
      </w:r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>336</w:t>
      </w:r>
      <w:r w:rsidR="00CB34C9" w:rsidRPr="00FB09D3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A5484" w:rsidRPr="00FB09D3" w:rsidRDefault="0089100C" w:rsidP="008910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A5484" w:rsidRPr="00FB09D3">
        <w:rPr>
          <w:rFonts w:ascii="Times New Roman" w:eastAsia="Calibri" w:hAnsi="Times New Roman"/>
          <w:sz w:val="24"/>
          <w:szCs w:val="24"/>
        </w:rPr>
        <w:t>Источники информации:</w:t>
      </w:r>
    </w:p>
    <w:p w:rsidR="008A5484" w:rsidRPr="00FB09D3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09D3">
        <w:rPr>
          <w:rFonts w:ascii="Times New Roman" w:eastAsia="Calibri" w:hAnsi="Times New Roman"/>
          <w:sz w:val="24"/>
          <w:szCs w:val="24"/>
        </w:rPr>
        <w:t>Отчё</w:t>
      </w:r>
      <w:r w:rsidR="004035DB" w:rsidRPr="00FB09D3">
        <w:rPr>
          <w:rFonts w:ascii="Times New Roman" w:eastAsia="Calibri" w:hAnsi="Times New Roman"/>
          <w:sz w:val="24"/>
          <w:szCs w:val="24"/>
        </w:rPr>
        <w:t>т об исполнении бюджета муниципального образования «Колпашевский район»</w:t>
      </w:r>
      <w:r w:rsidR="00BE1167" w:rsidRPr="00FB09D3">
        <w:rPr>
          <w:rFonts w:ascii="Times New Roman" w:eastAsia="Calibri" w:hAnsi="Times New Roman"/>
          <w:sz w:val="24"/>
          <w:szCs w:val="24"/>
        </w:rPr>
        <w:t xml:space="preserve"> за </w:t>
      </w:r>
      <w:r w:rsidR="00CB34C9" w:rsidRPr="00FB09D3">
        <w:rPr>
          <w:rFonts w:ascii="Times New Roman" w:eastAsia="Calibri" w:hAnsi="Times New Roman"/>
          <w:sz w:val="24"/>
          <w:szCs w:val="24"/>
        </w:rPr>
        <w:t xml:space="preserve">1 </w:t>
      </w:r>
      <w:r w:rsidR="008D53F4" w:rsidRPr="00FB09D3">
        <w:rPr>
          <w:rFonts w:ascii="Times New Roman" w:eastAsia="Calibri" w:hAnsi="Times New Roman"/>
          <w:sz w:val="24"/>
          <w:szCs w:val="24"/>
        </w:rPr>
        <w:t>полугодие</w:t>
      </w:r>
      <w:r w:rsidR="00BE1167" w:rsidRPr="00FB09D3">
        <w:rPr>
          <w:rFonts w:ascii="Times New Roman" w:eastAsia="Calibri" w:hAnsi="Times New Roman"/>
          <w:sz w:val="24"/>
          <w:szCs w:val="24"/>
        </w:rPr>
        <w:t xml:space="preserve"> 202</w:t>
      </w:r>
      <w:r w:rsidR="00A709EB" w:rsidRPr="00FB09D3">
        <w:rPr>
          <w:rFonts w:ascii="Times New Roman" w:eastAsia="Calibri" w:hAnsi="Times New Roman"/>
          <w:sz w:val="24"/>
          <w:szCs w:val="24"/>
        </w:rPr>
        <w:t>3</w:t>
      </w:r>
      <w:r w:rsidR="00BE1167" w:rsidRPr="00FB09D3">
        <w:rPr>
          <w:rFonts w:ascii="Times New Roman" w:eastAsia="Calibri" w:hAnsi="Times New Roman"/>
          <w:sz w:val="24"/>
          <w:szCs w:val="24"/>
        </w:rPr>
        <w:t xml:space="preserve"> года</w:t>
      </w:r>
      <w:r w:rsidR="008A5484" w:rsidRPr="00FB09D3">
        <w:rPr>
          <w:rFonts w:ascii="Times New Roman" w:eastAsia="Calibri" w:hAnsi="Times New Roman"/>
          <w:sz w:val="24"/>
          <w:szCs w:val="24"/>
        </w:rPr>
        <w:t>;</w:t>
      </w:r>
    </w:p>
    <w:p w:rsidR="008A5484" w:rsidRPr="00FB09D3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09D3">
        <w:rPr>
          <w:rFonts w:ascii="Times New Roman" w:eastAsia="Calibri" w:hAnsi="Times New Roman"/>
          <w:sz w:val="24"/>
          <w:szCs w:val="24"/>
        </w:rPr>
        <w:t xml:space="preserve">Официальный сайт </w:t>
      </w:r>
      <w:r w:rsidR="002C4DBC" w:rsidRPr="00FB09D3">
        <w:rPr>
          <w:rFonts w:ascii="Times New Roman" w:eastAsia="Calibri" w:hAnsi="Times New Roman"/>
          <w:sz w:val="24"/>
          <w:szCs w:val="24"/>
        </w:rPr>
        <w:t xml:space="preserve">органов местного самоуправления муниципального образования </w:t>
      </w:r>
      <w:r w:rsidRPr="00FB09D3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FB09D3">
        <w:rPr>
          <w:rFonts w:ascii="Times New Roman" w:eastAsia="Calibri" w:hAnsi="Times New Roman"/>
          <w:sz w:val="24"/>
          <w:szCs w:val="24"/>
        </w:rPr>
        <w:t>Колпашевский</w:t>
      </w:r>
      <w:proofErr w:type="spellEnd"/>
      <w:r w:rsidRPr="00FB09D3">
        <w:rPr>
          <w:rFonts w:ascii="Times New Roman" w:eastAsia="Calibri" w:hAnsi="Times New Roman"/>
          <w:sz w:val="24"/>
          <w:szCs w:val="24"/>
        </w:rPr>
        <w:t xml:space="preserve"> район»</w:t>
      </w:r>
      <w:r w:rsidR="00596C8B" w:rsidRPr="00FB09D3">
        <w:rPr>
          <w:rFonts w:ascii="Times New Roman" w:eastAsia="Calibri" w:hAnsi="Times New Roman"/>
          <w:sz w:val="24"/>
          <w:szCs w:val="24"/>
        </w:rPr>
        <w:t>;</w:t>
      </w:r>
    </w:p>
    <w:p w:rsidR="00596C8B" w:rsidRPr="00FB09D3" w:rsidRDefault="00596C8B" w:rsidP="00596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материалы по запросу Счетной палаты от 05.07.202</w:t>
      </w:r>
      <w:r w:rsidR="00C9129E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полученные 0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A709E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 необходимой информации.  </w:t>
      </w:r>
    </w:p>
    <w:p w:rsidR="00C9129E" w:rsidRPr="00FB09D3" w:rsidRDefault="001C01EE" w:rsidP="00C912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>Бюджет муниципального образова</w:t>
      </w:r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>ния «</w:t>
      </w:r>
      <w:proofErr w:type="spellStart"/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>Колпашевский</w:t>
      </w:r>
      <w:proofErr w:type="spellEnd"/>
      <w:r w:rsidR="00A709EB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район» на 2023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 утвержден в соответствии с требованиями ст.187 БК РФ до начала финансового года. </w:t>
      </w:r>
      <w:r w:rsidR="000048D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Решением Думы </w:t>
      </w:r>
      <w:proofErr w:type="spellStart"/>
      <w:r w:rsidR="000048D8" w:rsidRPr="00FB09D3">
        <w:rPr>
          <w:rFonts w:ascii="Times New Roman" w:hAnsi="Times New Roman"/>
          <w:color w:val="000000" w:themeColor="text1"/>
          <w:sz w:val="24"/>
          <w:szCs w:val="24"/>
        </w:rPr>
        <w:t>Колпашевского</w:t>
      </w:r>
      <w:proofErr w:type="spellEnd"/>
      <w:r w:rsidR="000048D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>от 2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>.11.20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128</w:t>
      </w:r>
      <w:r w:rsidR="00E64D69" w:rsidRPr="00FB09D3">
        <w:rPr>
          <w:color w:val="000000" w:themeColor="text1"/>
          <w:sz w:val="24"/>
          <w:szCs w:val="24"/>
        </w:rPr>
        <w:t xml:space="preserve"> 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>«О бюджете муниципального образования «Колпашевский район» на 202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2024 и 2025</w:t>
      </w:r>
      <w:r w:rsidR="000048D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годов</w:t>
      </w:r>
      <w:r w:rsidR="00E64D69" w:rsidRPr="00FB09D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048D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утверждены доходы бюджета в сумме 676 528,1 тыс. рублей, расходы – 676 528,1 тыс. рублей с дефицитом (</w:t>
      </w:r>
      <w:proofErr w:type="spellStart"/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профицитом</w:t>
      </w:r>
      <w:proofErr w:type="spellEnd"/>
      <w:r w:rsidR="00C9129E" w:rsidRPr="00FB09D3">
        <w:rPr>
          <w:rFonts w:ascii="Times New Roman" w:hAnsi="Times New Roman"/>
          <w:color w:val="000000" w:themeColor="text1"/>
          <w:sz w:val="24"/>
          <w:szCs w:val="24"/>
        </w:rPr>
        <w:t>) 0,0 тыс. рублей.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отчетного периода решение Думы </w:t>
      </w:r>
      <w:proofErr w:type="spell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Колпашевского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25.11.2022 № 128</w:t>
      </w:r>
      <w:r w:rsidRPr="00FB09D3">
        <w:rPr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бюджете муниципального образования «</w:t>
      </w:r>
      <w:proofErr w:type="spell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Колпашевский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на 2023 год и на плановый период 2024 и 2025 годов» (далее – решение о бюджете) (первоначальная редакция) редактировалось 6 раз. </w:t>
      </w:r>
    </w:p>
    <w:p w:rsidR="00C9129E" w:rsidRPr="00FB09D3" w:rsidRDefault="00C9129E" w:rsidP="00C912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Редакция 1 – от 30.01.2023 № 1; 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2 – от 27.02.2023 № 15;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3 – от 27.03.2023 № 25;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4 – от 2</w:t>
      </w:r>
      <w:r w:rsidR="00793BD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.04.2023 № 32;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5 – от 29.05.2023 № 46;</w:t>
      </w:r>
    </w:p>
    <w:p w:rsidR="00C9129E" w:rsidRPr="00FB09D3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6 – от 14.06.2023 № 54.</w:t>
      </w:r>
    </w:p>
    <w:p w:rsidR="00C9129E" w:rsidRDefault="00C9129E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основных характеристик местного бюджета представлены в таблице</w:t>
      </w:r>
      <w:r w:rsid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B09D3" w:rsidRDefault="00FB09D3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9D3" w:rsidRPr="00FB09D3" w:rsidRDefault="00FB09D3" w:rsidP="00C9129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9D3" w:rsidRPr="00FB09D3" w:rsidRDefault="00FB09D3" w:rsidP="00C9129E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C9129E" w:rsidRPr="00BF24E8" w:rsidRDefault="00C9129E" w:rsidP="00C9129E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Изменения основных характеристик бюджета в течение 1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полугодия</w:t>
      </w: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 года </w:t>
      </w:r>
    </w:p>
    <w:p w:rsidR="00C9129E" w:rsidRPr="00191F63" w:rsidRDefault="00C9129E" w:rsidP="00C9129E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1F6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(тыс. руб.)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275"/>
        <w:gridCol w:w="1418"/>
        <w:gridCol w:w="1417"/>
        <w:gridCol w:w="1560"/>
        <w:gridCol w:w="1559"/>
      </w:tblGrid>
      <w:tr w:rsidR="00C9129E" w:rsidRPr="00BF24E8" w:rsidTr="00191F63">
        <w:trPr>
          <w:trHeight w:val="9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«+» увеличение, </w:t>
            </w:r>
            <w:proofErr w:type="gramStart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«-</w:t>
            </w:r>
            <w:proofErr w:type="gramEnd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(«+» увеличение, </w:t>
            </w:r>
            <w:proofErr w:type="gramStart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«-</w:t>
            </w:r>
            <w:proofErr w:type="gramEnd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"+" - </w:t>
            </w:r>
            <w:proofErr w:type="spellStart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proofErr w:type="gramStart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 "</w:t>
            </w:r>
            <w:proofErr w:type="gramEnd"/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-" - дефицит</w:t>
            </w:r>
          </w:p>
        </w:tc>
      </w:tr>
      <w:tr w:rsidR="00C9129E" w:rsidRPr="00BF24E8" w:rsidTr="004A6D3D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676 528,1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676 528,1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1 602 551,4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+926 023,3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1 697 387,5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+1 020 859,4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-94 836,1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2 032 341,2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+429 789,8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2 127 182,2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>
              <w:rPr>
                <w:rFonts w:ascii="Times New Roman" w:hAnsi="Times New Roman"/>
                <w:color w:val="000000" w:themeColor="text1"/>
              </w:rPr>
              <w:t>429 794,7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2 119 678,9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+87 337,7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2 214 519,9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+87 337,7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2 125 235,6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+ 5 556,7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2 220 076,6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+ 5 556,7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2 113 100,1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- 12 135,5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2 212 369,3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-7 707,3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77361C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-99 269,2</w:t>
            </w:r>
          </w:p>
        </w:tc>
      </w:tr>
      <w:tr w:rsidR="00C9129E" w:rsidRPr="00BF24E8" w:rsidTr="004A6D3D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2 220 420,1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+ 107 320,0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2 330,799,9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+ 118 430,6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6131C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8E6280">
              <w:rPr>
                <w:rFonts w:ascii="Times New Roman" w:hAnsi="Times New Roman"/>
                <w:color w:val="000000" w:themeColor="text1"/>
              </w:rPr>
              <w:t>110 379,8</w:t>
            </w:r>
          </w:p>
        </w:tc>
      </w:tr>
      <w:tr w:rsidR="00C9129E" w:rsidRPr="00BF24E8" w:rsidTr="00191F63">
        <w:trPr>
          <w:trHeight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+ 1 543 892,0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8E6280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+ 1 654 271,8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9E" w:rsidRPr="00BF24E8" w:rsidRDefault="00C9129E" w:rsidP="004A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proofErr w:type="spellEnd"/>
          </w:p>
        </w:tc>
      </w:tr>
    </w:tbl>
    <w:p w:rsidR="00E64D69" w:rsidRPr="00191F63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A4D67" w:rsidRPr="00FB09D3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>В результате внесенных изменений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доход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ы </w:t>
      </w:r>
      <w:r w:rsidR="00593A46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="00566FFF" w:rsidRPr="00FB09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1 543 892,0 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(или на 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>228,2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% к первоначально утвержденному бюджету) и составили 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2 220 420,1 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>тыс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>рублей. Р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ы 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увеличены на </w:t>
      </w:r>
      <w:r w:rsidR="00822EE8" w:rsidRPr="00FB09D3">
        <w:rPr>
          <w:rFonts w:ascii="Times New Roman" w:hAnsi="Times New Roman"/>
          <w:bCs/>
          <w:color w:val="000000" w:themeColor="text1"/>
          <w:sz w:val="24"/>
          <w:szCs w:val="24"/>
        </w:rPr>
        <w:t>1 654 271,8</w:t>
      </w:r>
      <w:r w:rsidR="00822EE8" w:rsidRPr="00FB09D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(или на 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>244,5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% к первоначально утвержденному бюджету) и составили 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2 330,799,9 </w:t>
      </w:r>
      <w:r w:rsidR="007A4D67" w:rsidRPr="00FB09D3">
        <w:rPr>
          <w:rFonts w:ascii="Times New Roman" w:hAnsi="Times New Roman"/>
          <w:color w:val="000000" w:themeColor="text1"/>
          <w:sz w:val="24"/>
          <w:szCs w:val="24"/>
        </w:rPr>
        <w:t>тыс. рублей.</w:t>
      </w:r>
    </w:p>
    <w:p w:rsidR="00E64D69" w:rsidRPr="00FB09D3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Дефицит бюджета составил </w:t>
      </w:r>
      <w:r w:rsidR="00822EE8" w:rsidRPr="00FB09D3">
        <w:rPr>
          <w:rFonts w:ascii="Times New Roman" w:hAnsi="Times New Roman"/>
          <w:color w:val="000000" w:themeColor="text1"/>
          <w:sz w:val="24"/>
          <w:szCs w:val="24"/>
        </w:rPr>
        <w:t>110 379,8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6C2ECB" w:rsidRPr="00FB09D3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>В соответствии с п.5 ст.264.2 БК РФ Отч</w:t>
      </w:r>
      <w:r w:rsidR="005B6F80" w:rsidRPr="00FB09D3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:rsidR="002C4DBC" w:rsidRPr="00FB09D3" w:rsidRDefault="006B5BBB" w:rsidP="002C4D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>Согласно представленному отчё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ту об исполнении бюджета за 1 </w:t>
      </w:r>
      <w:r w:rsidR="009322D2" w:rsidRPr="00FB09D3">
        <w:rPr>
          <w:rFonts w:ascii="Times New Roman" w:hAnsi="Times New Roman"/>
          <w:color w:val="000000" w:themeColor="text1"/>
          <w:sz w:val="24"/>
          <w:szCs w:val="24"/>
        </w:rPr>
        <w:t>полугодие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года доходы бюджета составили 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>1 136 969,2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расходы 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>1 108 498,4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3C3EDF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>рублей. П</w:t>
      </w:r>
      <w:r w:rsidR="00CC6209" w:rsidRPr="00FB09D3">
        <w:rPr>
          <w:rFonts w:ascii="Times New Roman" w:hAnsi="Times New Roman"/>
          <w:color w:val="000000" w:themeColor="text1"/>
          <w:sz w:val="24"/>
          <w:szCs w:val="24"/>
        </w:rPr>
        <w:t>рофицит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местного бюджета</w:t>
      </w:r>
      <w:r w:rsidR="00CC620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>сложился</w:t>
      </w:r>
      <w:r w:rsidR="00CC6209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C6209" w:rsidRPr="00FB09D3">
        <w:rPr>
          <w:rFonts w:ascii="Times New Roman" w:hAnsi="Times New Roman"/>
          <w:color w:val="000000" w:themeColor="text1"/>
          <w:sz w:val="24"/>
          <w:szCs w:val="24"/>
        </w:rPr>
        <w:t>объеме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>28 470,8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(справочно: по итогам 1 </w:t>
      </w:r>
      <w:r w:rsidR="00F1409B" w:rsidRPr="00FB09D3">
        <w:rPr>
          <w:rFonts w:ascii="Times New Roman" w:hAnsi="Times New Roman"/>
          <w:color w:val="000000" w:themeColor="text1"/>
          <w:sz w:val="24"/>
          <w:szCs w:val="24"/>
        </w:rPr>
        <w:t>полугодия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2F250C" w:rsidRPr="00FB09D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>профицит</w:t>
      </w:r>
      <w:proofErr w:type="spellEnd"/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7D7E50" w:rsidRPr="00FB09D3">
        <w:rPr>
          <w:rFonts w:ascii="Times New Roman" w:hAnsi="Times New Roman"/>
          <w:color w:val="000000" w:themeColor="text1"/>
          <w:sz w:val="24"/>
          <w:szCs w:val="24"/>
        </w:rPr>
        <w:t>15 121,2 тыс. рублей</w:t>
      </w:r>
      <w:r w:rsidR="002C4DB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7F4EA5" w:rsidRPr="00FB09D3" w:rsidRDefault="007F4EA5" w:rsidP="007F4EA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         В структуре доходов бюджета налоговые и неналоговые доходы занимают </w:t>
      </w:r>
      <w:r w:rsidR="004A6D3D" w:rsidRPr="00FB09D3">
        <w:rPr>
          <w:rFonts w:ascii="Times New Roman" w:hAnsi="Times New Roman"/>
          <w:color w:val="000000" w:themeColor="text1"/>
          <w:sz w:val="24"/>
          <w:szCs w:val="24"/>
        </w:rPr>
        <w:t>13,9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% от общей суммы доходов, доля безвозмездных поступлений в доходной части бюджета</w:t>
      </w:r>
      <w:r w:rsidR="005953F3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4A6D3D" w:rsidRPr="00FB09D3">
        <w:rPr>
          <w:rFonts w:ascii="Times New Roman" w:hAnsi="Times New Roman"/>
          <w:color w:val="000000" w:themeColor="text1"/>
          <w:sz w:val="24"/>
          <w:szCs w:val="24"/>
        </w:rPr>
        <w:t>86,1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% от общей суммы доходов</w:t>
      </w:r>
      <w:r w:rsidR="00C06486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C6D9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по данным </w:t>
      </w:r>
      <w:r w:rsidR="00C06486" w:rsidRPr="00FB09D3">
        <w:rPr>
          <w:rFonts w:ascii="Times New Roman" w:hAnsi="Times New Roman"/>
          <w:color w:val="000000" w:themeColor="text1"/>
          <w:sz w:val="24"/>
          <w:szCs w:val="24"/>
        </w:rPr>
        <w:t>отчет</w:t>
      </w:r>
      <w:r w:rsidR="009C6D9C" w:rsidRPr="00FB09D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06486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ф. 0503117)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6D3D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При этом необходимо отметить, что средняя доля в общей сумме доходов в муниципальных образованиях Томской области </w:t>
      </w:r>
      <w:r w:rsidR="007A5461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безвозмездных поступлений </w:t>
      </w:r>
      <w:r w:rsidR="004A6D3D" w:rsidRPr="00FB09D3">
        <w:rPr>
          <w:rFonts w:ascii="Times New Roman" w:hAnsi="Times New Roman"/>
          <w:color w:val="000000" w:themeColor="text1"/>
          <w:sz w:val="24"/>
          <w:szCs w:val="24"/>
        </w:rPr>
        <w:t>составляет 68-70%.</w:t>
      </w:r>
    </w:p>
    <w:p w:rsidR="007F4EA5" w:rsidRPr="00196C47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96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96C47">
        <w:rPr>
          <w:rFonts w:ascii="Times New Roman" w:hAnsi="Times New Roman"/>
          <w:sz w:val="24"/>
          <w:szCs w:val="24"/>
        </w:rPr>
        <w:t xml:space="preserve">  </w:t>
      </w:r>
      <w:r w:rsidR="00191F63">
        <w:rPr>
          <w:rFonts w:ascii="Times New Roman" w:hAnsi="Times New Roman"/>
          <w:sz w:val="24"/>
          <w:szCs w:val="24"/>
        </w:rPr>
        <w:t xml:space="preserve">     </w:t>
      </w:r>
      <w:r w:rsidR="00196C47">
        <w:rPr>
          <w:rFonts w:ascii="Times New Roman" w:hAnsi="Times New Roman"/>
          <w:sz w:val="24"/>
          <w:szCs w:val="24"/>
        </w:rPr>
        <w:t xml:space="preserve">    </w:t>
      </w:r>
      <w:r w:rsidRPr="00196C47">
        <w:rPr>
          <w:rFonts w:ascii="Times New Roman" w:hAnsi="Times New Roman"/>
          <w:sz w:val="24"/>
          <w:szCs w:val="24"/>
        </w:rPr>
        <w:t xml:space="preserve">Таблица </w:t>
      </w:r>
      <w:r w:rsidR="00196C47" w:rsidRPr="00196C47">
        <w:rPr>
          <w:rFonts w:ascii="Times New Roman" w:hAnsi="Times New Roman"/>
          <w:sz w:val="24"/>
          <w:szCs w:val="24"/>
        </w:rPr>
        <w:t>2</w:t>
      </w:r>
      <w:r w:rsidRPr="00196C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6B14" w:rsidRPr="006131C0" w:rsidRDefault="007F4EA5" w:rsidP="001F23AF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131C0">
        <w:rPr>
          <w:rFonts w:ascii="Times New Roman" w:hAnsi="Times New Roman"/>
          <w:b/>
          <w:sz w:val="24"/>
          <w:szCs w:val="24"/>
        </w:rPr>
        <w:t>Структура доходов бюджета МО «</w:t>
      </w:r>
      <w:proofErr w:type="spellStart"/>
      <w:r w:rsidRPr="006131C0">
        <w:rPr>
          <w:rFonts w:ascii="Times New Roman" w:hAnsi="Times New Roman"/>
          <w:b/>
          <w:sz w:val="24"/>
          <w:szCs w:val="24"/>
        </w:rPr>
        <w:t>Колпашевский</w:t>
      </w:r>
      <w:proofErr w:type="spellEnd"/>
      <w:r w:rsidRPr="006131C0">
        <w:rPr>
          <w:rFonts w:ascii="Times New Roman" w:hAnsi="Times New Roman"/>
          <w:b/>
          <w:sz w:val="24"/>
          <w:szCs w:val="24"/>
        </w:rPr>
        <w:t xml:space="preserve"> район» в 202</w:t>
      </w:r>
      <w:r w:rsidR="007D7E50" w:rsidRPr="006131C0">
        <w:rPr>
          <w:rFonts w:ascii="Times New Roman" w:hAnsi="Times New Roman"/>
          <w:b/>
          <w:sz w:val="24"/>
          <w:szCs w:val="24"/>
        </w:rPr>
        <w:t>2</w:t>
      </w:r>
      <w:r w:rsidRPr="006131C0">
        <w:rPr>
          <w:rFonts w:ascii="Times New Roman" w:hAnsi="Times New Roman"/>
          <w:b/>
          <w:sz w:val="24"/>
          <w:szCs w:val="24"/>
        </w:rPr>
        <w:t>-202</w:t>
      </w:r>
      <w:r w:rsidR="007D7E50" w:rsidRPr="006131C0">
        <w:rPr>
          <w:rFonts w:ascii="Times New Roman" w:hAnsi="Times New Roman"/>
          <w:b/>
          <w:sz w:val="24"/>
          <w:szCs w:val="24"/>
        </w:rPr>
        <w:t>3</w:t>
      </w:r>
      <w:r w:rsidRPr="006131C0">
        <w:rPr>
          <w:rFonts w:ascii="Times New Roman" w:hAnsi="Times New Roman"/>
          <w:b/>
          <w:sz w:val="24"/>
          <w:szCs w:val="24"/>
        </w:rPr>
        <w:t xml:space="preserve"> годах </w:t>
      </w:r>
      <w:r w:rsidRPr="006131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F4EA5" w:rsidRPr="00196C47" w:rsidRDefault="008D6B14" w:rsidP="001F23AF">
      <w:pPr>
        <w:pStyle w:val="a4"/>
        <w:tabs>
          <w:tab w:val="center" w:pos="4749"/>
          <w:tab w:val="right" w:pos="930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F4EA5" w:rsidRPr="00196C4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1" w:type="dxa"/>
        <w:tblInd w:w="103" w:type="dxa"/>
        <w:tblLayout w:type="fixed"/>
        <w:tblLook w:val="04A0"/>
      </w:tblPr>
      <w:tblGrid>
        <w:gridCol w:w="5108"/>
        <w:gridCol w:w="1418"/>
        <w:gridCol w:w="1417"/>
        <w:gridCol w:w="1418"/>
      </w:tblGrid>
      <w:tr w:rsidR="006802A6" w:rsidRPr="007F4EA5" w:rsidTr="00E55652">
        <w:trPr>
          <w:trHeight w:val="87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6" w:rsidRPr="006131C0" w:rsidRDefault="006802A6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1C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  <w:p w:rsidR="006802A6" w:rsidRPr="006131C0" w:rsidRDefault="006802A6" w:rsidP="00E55652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37" w:rsidRPr="006131C0" w:rsidRDefault="00B41237" w:rsidP="0061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1C0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  <w:p w:rsidR="007D7E50" w:rsidRPr="006131C0" w:rsidRDefault="00B41237" w:rsidP="0061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1C0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</w:p>
          <w:p w:rsidR="006802A6" w:rsidRPr="006131C0" w:rsidRDefault="007D7E50" w:rsidP="0061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1C0">
              <w:rPr>
                <w:rFonts w:ascii="Times New Roman" w:hAnsi="Times New Roman" w:cs="Times New Roman"/>
                <w:b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131C0" w:rsidRDefault="006802A6" w:rsidP="006131C0">
            <w:pPr>
              <w:pStyle w:val="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color w:val="000000" w:themeColor="text1"/>
                <w:sz w:val="22"/>
                <w:szCs w:val="22"/>
                <w:lang w:eastAsia="en-US"/>
              </w:rPr>
              <w:t>Исполнено на 01.07.20</w:t>
            </w:r>
            <w:r w:rsidR="007A5461" w:rsidRPr="006131C0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D7E50" w:rsidRPr="006131C0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2A6" w:rsidRPr="006131C0" w:rsidRDefault="00B41237" w:rsidP="006131C0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color w:val="000000" w:themeColor="text1"/>
                <w:sz w:val="22"/>
                <w:szCs w:val="22"/>
                <w:lang w:eastAsia="en-US"/>
              </w:rPr>
              <w:t>Исполнено на 01.07.202</w:t>
            </w:r>
            <w:r w:rsidR="007D7E50" w:rsidRPr="006131C0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7D7E50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Налоговые и неналоговые доходы (тыс</w:t>
            </w:r>
            <w:proofErr w:type="gramStart"/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.р</w:t>
            </w:r>
            <w:proofErr w:type="gramEnd"/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309 243,4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143 461,1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4A6D3D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146 005,9</w:t>
            </w:r>
          </w:p>
        </w:tc>
      </w:tr>
      <w:tr w:rsidR="007D7E50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4A6D3D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4A6D3D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4A6D3D">
            <w:pPr>
              <w:pStyle w:val="2"/>
              <w:rPr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14,9</w:t>
            </w:r>
          </w:p>
        </w:tc>
      </w:tr>
      <w:tr w:rsidR="007D7E50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Безвозмездные поступления (тыс</w:t>
            </w:r>
            <w:proofErr w:type="gramStart"/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.р</w:t>
            </w:r>
            <w:proofErr w:type="gramEnd"/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7D7E50" w:rsidP="004A6D3D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1 911 310,9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4A6D3D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993 508,1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7D7E50" w:rsidP="004A6D3D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833 160,9</w:t>
            </w:r>
          </w:p>
        </w:tc>
      </w:tr>
      <w:tr w:rsidR="007D7E50" w:rsidRPr="007F4EA5" w:rsidTr="003E1FAB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E50" w:rsidRPr="006131C0" w:rsidRDefault="007D7E50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50" w:rsidRPr="006131C0" w:rsidRDefault="004A6D3D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50" w:rsidRPr="006131C0" w:rsidRDefault="004A6D3D" w:rsidP="003E1FAB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E50" w:rsidRPr="006131C0" w:rsidRDefault="007D7E50" w:rsidP="004A6D3D">
            <w:pPr>
              <w:pStyle w:val="2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85,1</w:t>
            </w:r>
          </w:p>
        </w:tc>
      </w:tr>
      <w:tr w:rsidR="007D7E50" w:rsidRPr="007F4EA5" w:rsidTr="00E55652">
        <w:trPr>
          <w:trHeight w:val="1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E50" w:rsidRPr="006131C0" w:rsidRDefault="007D7E50" w:rsidP="00E55652">
            <w:pPr>
              <w:pStyle w:val="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color w:val="000000" w:themeColor="text1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4A6D3D" w:rsidP="00E55652">
            <w:pPr>
              <w:pStyle w:val="2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Cs/>
                <w:color w:val="000000" w:themeColor="text1"/>
                <w:sz w:val="22"/>
                <w:szCs w:val="22"/>
                <w:lang w:eastAsia="en-US"/>
              </w:rPr>
              <w:t>2 220 554,3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4A6D3D" w:rsidP="00E55652">
            <w:pPr>
              <w:pStyle w:val="2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Cs/>
                <w:color w:val="000000" w:themeColor="text1"/>
                <w:sz w:val="22"/>
                <w:szCs w:val="22"/>
                <w:lang w:eastAsia="en-US"/>
              </w:rPr>
              <w:t>1 136 969,2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E50" w:rsidRPr="006131C0" w:rsidRDefault="007D7E50" w:rsidP="004A6D3D">
            <w:pPr>
              <w:pStyle w:val="2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131C0">
              <w:rPr>
                <w:bCs/>
                <w:color w:val="000000" w:themeColor="text1"/>
                <w:sz w:val="22"/>
                <w:szCs w:val="22"/>
                <w:lang w:eastAsia="en-US"/>
              </w:rPr>
              <w:t>979 166,9</w:t>
            </w:r>
          </w:p>
        </w:tc>
      </w:tr>
    </w:tbl>
    <w:p w:rsidR="007F4EA5" w:rsidRPr="00191F63" w:rsidRDefault="007F4EA5" w:rsidP="007F4EA5">
      <w:pPr>
        <w:pStyle w:val="a4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375A71" w:rsidRPr="00FB09D3" w:rsidRDefault="00375A71" w:rsidP="00402FC8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E50" w:rsidRPr="00FB09D3">
        <w:rPr>
          <w:rFonts w:ascii="Times New Roman" w:hAnsi="Times New Roman"/>
          <w:sz w:val="24"/>
          <w:szCs w:val="24"/>
        </w:rPr>
        <w:t>За 6 месяцев 2023</w:t>
      </w:r>
      <w:r w:rsidR="00360BF5" w:rsidRPr="00FB09D3">
        <w:rPr>
          <w:rFonts w:ascii="Times New Roman" w:hAnsi="Times New Roman"/>
          <w:sz w:val="24"/>
          <w:szCs w:val="24"/>
        </w:rPr>
        <w:t xml:space="preserve"> года по сравнению</w:t>
      </w:r>
      <w:r w:rsidR="007A5461" w:rsidRPr="00FB09D3">
        <w:rPr>
          <w:rFonts w:ascii="Times New Roman" w:hAnsi="Times New Roman"/>
          <w:sz w:val="24"/>
          <w:szCs w:val="24"/>
        </w:rPr>
        <w:t xml:space="preserve"> с аналогичным периодом 2022</w:t>
      </w:r>
      <w:r w:rsidR="00360BF5" w:rsidRPr="00FB09D3">
        <w:rPr>
          <w:rFonts w:ascii="Times New Roman" w:hAnsi="Times New Roman"/>
          <w:sz w:val="24"/>
          <w:szCs w:val="24"/>
        </w:rPr>
        <w:t xml:space="preserve"> года налоговых и неналоговых доходов поступило меньше на </w:t>
      </w:r>
      <w:r w:rsidR="007A5461" w:rsidRPr="00FB09D3">
        <w:rPr>
          <w:rFonts w:ascii="Times New Roman" w:hAnsi="Times New Roman"/>
          <w:sz w:val="24"/>
          <w:szCs w:val="24"/>
        </w:rPr>
        <w:t>2 544,8</w:t>
      </w:r>
      <w:r w:rsidR="00360BF5" w:rsidRPr="00FB09D3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7A5461" w:rsidRPr="00FB09D3">
        <w:rPr>
          <w:rFonts w:ascii="Times New Roman" w:hAnsi="Times New Roman"/>
          <w:sz w:val="24"/>
          <w:szCs w:val="24"/>
        </w:rPr>
        <w:t>1</w:t>
      </w:r>
      <w:r w:rsidR="00360BF5" w:rsidRPr="00FB09D3">
        <w:rPr>
          <w:rFonts w:ascii="Times New Roman" w:hAnsi="Times New Roman"/>
          <w:sz w:val="24"/>
          <w:szCs w:val="24"/>
        </w:rPr>
        <w:t xml:space="preserve">,7%. </w:t>
      </w:r>
    </w:p>
    <w:p w:rsidR="00917712" w:rsidRPr="00FB09D3" w:rsidRDefault="00BD6740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lastRenderedPageBreak/>
        <w:tab/>
        <w:t xml:space="preserve">Уменьшение </w:t>
      </w:r>
      <w:r w:rsidR="00EB36B5" w:rsidRPr="00FB09D3">
        <w:rPr>
          <w:rFonts w:ascii="Times New Roman" w:hAnsi="Times New Roman"/>
          <w:sz w:val="24"/>
          <w:szCs w:val="24"/>
        </w:rPr>
        <w:t xml:space="preserve">налоговых и неналоговых </w:t>
      </w:r>
      <w:r w:rsidRPr="00FB09D3">
        <w:rPr>
          <w:rFonts w:ascii="Times New Roman" w:hAnsi="Times New Roman"/>
          <w:sz w:val="24"/>
          <w:szCs w:val="24"/>
        </w:rPr>
        <w:t>доходов в 1 по</w:t>
      </w:r>
      <w:r w:rsidR="00AD0388" w:rsidRPr="00FB09D3">
        <w:rPr>
          <w:rFonts w:ascii="Times New Roman" w:hAnsi="Times New Roman"/>
          <w:sz w:val="24"/>
          <w:szCs w:val="24"/>
        </w:rPr>
        <w:t>лугодии 2023</w:t>
      </w:r>
      <w:r w:rsidRPr="00FB09D3">
        <w:rPr>
          <w:rFonts w:ascii="Times New Roman" w:hAnsi="Times New Roman"/>
          <w:sz w:val="24"/>
          <w:szCs w:val="24"/>
        </w:rPr>
        <w:t xml:space="preserve"> года по сравн</w:t>
      </w:r>
      <w:r w:rsidR="00AD0388" w:rsidRPr="00FB09D3">
        <w:rPr>
          <w:rFonts w:ascii="Times New Roman" w:hAnsi="Times New Roman"/>
          <w:sz w:val="24"/>
          <w:szCs w:val="24"/>
        </w:rPr>
        <w:t>ению с аналогичным периодом 2022</w:t>
      </w:r>
      <w:r w:rsidRPr="00FB09D3">
        <w:rPr>
          <w:rFonts w:ascii="Times New Roman" w:hAnsi="Times New Roman"/>
          <w:sz w:val="24"/>
          <w:szCs w:val="24"/>
        </w:rPr>
        <w:t xml:space="preserve"> года сложилось за счет </w:t>
      </w:r>
      <w:r w:rsidRPr="00FB09D3">
        <w:rPr>
          <w:rFonts w:ascii="Times New Roman" w:hAnsi="Times New Roman"/>
          <w:color w:val="000000" w:themeColor="text1"/>
          <w:sz w:val="24"/>
          <w:szCs w:val="24"/>
        </w:rPr>
        <w:t>уменьшения</w:t>
      </w:r>
      <w:r w:rsidR="00402FC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поступлений</w:t>
      </w:r>
      <w:r w:rsidR="003F005C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F2572E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налогам на доходы физических лиц (- </w:t>
      </w:r>
      <w:r w:rsidR="004B34B0" w:rsidRPr="00FB09D3">
        <w:rPr>
          <w:rFonts w:ascii="Times New Roman" w:hAnsi="Times New Roman"/>
          <w:color w:val="000000" w:themeColor="text1"/>
          <w:sz w:val="24"/>
          <w:szCs w:val="24"/>
        </w:rPr>
        <w:t>1 482,3</w:t>
      </w:r>
      <w:r w:rsidR="00F2572E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</w:t>
      </w:r>
      <w:proofErr w:type="gramStart"/>
      <w:r w:rsidR="00F2572E" w:rsidRPr="00FB09D3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F2572E" w:rsidRPr="00FB09D3">
        <w:rPr>
          <w:rFonts w:ascii="Times New Roman" w:hAnsi="Times New Roman"/>
          <w:color w:val="000000" w:themeColor="text1"/>
          <w:sz w:val="24"/>
          <w:szCs w:val="24"/>
        </w:rPr>
        <w:t>уб.),</w:t>
      </w:r>
      <w:r w:rsidR="00BB226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6D74" w:rsidRPr="00FB09D3">
        <w:rPr>
          <w:rFonts w:ascii="Times New Roman" w:hAnsi="Times New Roman"/>
          <w:color w:val="000000" w:themeColor="text1"/>
          <w:sz w:val="24"/>
          <w:szCs w:val="24"/>
        </w:rPr>
        <w:t>доходам от использования имущества, находящегося в муниципальной собственности</w:t>
      </w:r>
      <w:r w:rsidR="00BB226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(- </w:t>
      </w:r>
      <w:r w:rsidR="008C6D74" w:rsidRPr="00FB09D3">
        <w:rPr>
          <w:rFonts w:ascii="Times New Roman" w:hAnsi="Times New Roman"/>
          <w:color w:val="000000" w:themeColor="text1"/>
          <w:sz w:val="24"/>
          <w:szCs w:val="24"/>
        </w:rPr>
        <w:t>531,7</w:t>
      </w:r>
      <w:r w:rsidR="00BB2268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тыс.руб.), </w:t>
      </w:r>
      <w:r w:rsidR="00146FA3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доходам от </w:t>
      </w:r>
      <w:r w:rsidR="008C6D74" w:rsidRPr="00FB09D3">
        <w:rPr>
          <w:rFonts w:ascii="Times New Roman" w:hAnsi="Times New Roman"/>
          <w:color w:val="000000" w:themeColor="text1"/>
          <w:sz w:val="24"/>
          <w:szCs w:val="24"/>
        </w:rPr>
        <w:t>оказания платных услуг и компенсации затрат государства</w:t>
      </w:r>
      <w:r w:rsidR="00146FA3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(- </w:t>
      </w:r>
      <w:r w:rsidR="008C6D74" w:rsidRPr="00FB09D3">
        <w:rPr>
          <w:rFonts w:ascii="Times New Roman" w:hAnsi="Times New Roman"/>
          <w:color w:val="000000" w:themeColor="text1"/>
          <w:sz w:val="24"/>
          <w:szCs w:val="24"/>
        </w:rPr>
        <w:t>918,5</w:t>
      </w:r>
      <w:r w:rsidR="00146FA3" w:rsidRPr="00FB09D3">
        <w:rPr>
          <w:rFonts w:ascii="Times New Roman" w:hAnsi="Times New Roman"/>
          <w:color w:val="000000" w:themeColor="text1"/>
          <w:sz w:val="24"/>
          <w:szCs w:val="24"/>
        </w:rPr>
        <w:t xml:space="preserve"> тыс.руб.)</w:t>
      </w:r>
      <w:r w:rsidR="009B7BD2" w:rsidRPr="00FB0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6740" w:rsidRPr="00FB09D3" w:rsidRDefault="00AD0388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ab/>
        <w:t>За 1 полугодие 2023</w:t>
      </w:r>
      <w:r w:rsidR="00917712" w:rsidRPr="00FB09D3">
        <w:rPr>
          <w:rFonts w:ascii="Times New Roman" w:hAnsi="Times New Roman"/>
          <w:sz w:val="24"/>
          <w:szCs w:val="24"/>
        </w:rPr>
        <w:t xml:space="preserve"> года в доходную часть бюджета муниципального образования «Колпашевский район» поступило</w:t>
      </w:r>
      <w:r w:rsidR="00193372" w:rsidRPr="00FB09D3">
        <w:rPr>
          <w:rFonts w:ascii="Times New Roman" w:hAnsi="Times New Roman"/>
          <w:sz w:val="24"/>
          <w:szCs w:val="24"/>
        </w:rPr>
        <w:t xml:space="preserve"> безвозмездных поступлений в сумме</w:t>
      </w:r>
      <w:r w:rsidR="00917712" w:rsidRPr="00FB09D3">
        <w:rPr>
          <w:rFonts w:ascii="Times New Roman" w:hAnsi="Times New Roman"/>
          <w:sz w:val="24"/>
          <w:szCs w:val="24"/>
        </w:rPr>
        <w:t xml:space="preserve"> </w:t>
      </w:r>
      <w:r w:rsidRPr="00FB09D3">
        <w:rPr>
          <w:rFonts w:ascii="Times New Roman" w:hAnsi="Times New Roman"/>
          <w:sz w:val="24"/>
          <w:szCs w:val="24"/>
          <w:lang w:eastAsia="en-US"/>
        </w:rPr>
        <w:t>993 508,1</w:t>
      </w:r>
      <w:r w:rsidR="00917712" w:rsidRPr="00FB09D3">
        <w:rPr>
          <w:rFonts w:ascii="Times New Roman" w:hAnsi="Times New Roman"/>
          <w:sz w:val="24"/>
          <w:szCs w:val="24"/>
        </w:rPr>
        <w:t xml:space="preserve"> тыс. рублей</w:t>
      </w:r>
      <w:r w:rsidR="00193372" w:rsidRPr="00FB09D3">
        <w:rPr>
          <w:rFonts w:ascii="Times New Roman" w:hAnsi="Times New Roman"/>
          <w:sz w:val="24"/>
          <w:szCs w:val="24"/>
        </w:rPr>
        <w:t xml:space="preserve"> (</w:t>
      </w:r>
      <w:r w:rsidRPr="00FB09D3">
        <w:rPr>
          <w:rFonts w:ascii="Times New Roman" w:hAnsi="Times New Roman"/>
          <w:sz w:val="24"/>
          <w:szCs w:val="24"/>
        </w:rPr>
        <w:t>87,4</w:t>
      </w:r>
      <w:r w:rsidR="00193372" w:rsidRPr="00FB09D3">
        <w:rPr>
          <w:rFonts w:ascii="Times New Roman" w:hAnsi="Times New Roman"/>
          <w:sz w:val="24"/>
          <w:szCs w:val="24"/>
        </w:rPr>
        <w:t>% от общей суммы доходов)</w:t>
      </w:r>
      <w:bookmarkStart w:id="0" w:name="_GoBack"/>
      <w:bookmarkEnd w:id="0"/>
      <w:r w:rsidRPr="00FB09D3">
        <w:rPr>
          <w:rFonts w:ascii="Times New Roman" w:hAnsi="Times New Roman"/>
          <w:sz w:val="24"/>
          <w:szCs w:val="24"/>
        </w:rPr>
        <w:t>, что больше на 160 347,2 тыс</w:t>
      </w:r>
      <w:proofErr w:type="gramStart"/>
      <w:r w:rsidRPr="00FB09D3">
        <w:rPr>
          <w:rFonts w:ascii="Times New Roman" w:hAnsi="Times New Roman"/>
          <w:sz w:val="24"/>
          <w:szCs w:val="24"/>
        </w:rPr>
        <w:t>.р</w:t>
      </w:r>
      <w:proofErr w:type="gramEnd"/>
      <w:r w:rsidRPr="00FB09D3">
        <w:rPr>
          <w:rFonts w:ascii="Times New Roman" w:hAnsi="Times New Roman"/>
          <w:sz w:val="24"/>
          <w:szCs w:val="24"/>
        </w:rPr>
        <w:t xml:space="preserve">ублей </w:t>
      </w:r>
      <w:r w:rsidR="008C6D74" w:rsidRPr="00FB09D3">
        <w:rPr>
          <w:rFonts w:ascii="Times New Roman" w:hAnsi="Times New Roman"/>
          <w:sz w:val="24"/>
          <w:szCs w:val="24"/>
        </w:rPr>
        <w:t>в</w:t>
      </w:r>
      <w:r w:rsidRPr="00FB09D3">
        <w:rPr>
          <w:rFonts w:ascii="Times New Roman" w:hAnsi="Times New Roman"/>
          <w:sz w:val="24"/>
          <w:szCs w:val="24"/>
        </w:rPr>
        <w:t xml:space="preserve"> соответствующ</w:t>
      </w:r>
      <w:r w:rsidR="008C6D74" w:rsidRPr="00FB09D3">
        <w:rPr>
          <w:rFonts w:ascii="Times New Roman" w:hAnsi="Times New Roman"/>
          <w:sz w:val="24"/>
          <w:szCs w:val="24"/>
        </w:rPr>
        <w:t>е</w:t>
      </w:r>
      <w:r w:rsidRPr="00FB09D3">
        <w:rPr>
          <w:rFonts w:ascii="Times New Roman" w:hAnsi="Times New Roman"/>
          <w:sz w:val="24"/>
          <w:szCs w:val="24"/>
        </w:rPr>
        <w:t>м период</w:t>
      </w:r>
      <w:r w:rsidR="008C6D74" w:rsidRPr="00FB09D3">
        <w:rPr>
          <w:rFonts w:ascii="Times New Roman" w:hAnsi="Times New Roman"/>
          <w:sz w:val="24"/>
          <w:szCs w:val="24"/>
        </w:rPr>
        <w:t>е</w:t>
      </w:r>
      <w:r w:rsidRPr="00FB09D3">
        <w:rPr>
          <w:rFonts w:ascii="Times New Roman" w:hAnsi="Times New Roman"/>
          <w:sz w:val="24"/>
          <w:szCs w:val="24"/>
        </w:rPr>
        <w:t xml:space="preserve"> 2022 года. </w:t>
      </w:r>
      <w:r w:rsidR="00402FC8" w:rsidRPr="00FB09D3">
        <w:rPr>
          <w:rFonts w:ascii="Times New Roman" w:hAnsi="Times New Roman"/>
          <w:sz w:val="24"/>
          <w:szCs w:val="24"/>
        </w:rPr>
        <w:t xml:space="preserve"> </w:t>
      </w:r>
      <w:r w:rsidR="00BD6740" w:rsidRPr="00FB09D3">
        <w:rPr>
          <w:rFonts w:ascii="Times New Roman" w:hAnsi="Times New Roman"/>
          <w:sz w:val="24"/>
          <w:szCs w:val="24"/>
        </w:rPr>
        <w:t xml:space="preserve"> </w:t>
      </w:r>
    </w:p>
    <w:p w:rsidR="001F23AF" w:rsidRPr="00FB09D3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Согласно данным отчета об исполнении бюджета муниципального образования «</w:t>
      </w:r>
      <w:proofErr w:type="spellStart"/>
      <w:r w:rsidRPr="00FB09D3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Pr="00FB09D3">
        <w:rPr>
          <w:rFonts w:ascii="Times New Roman" w:hAnsi="Times New Roman"/>
          <w:sz w:val="24"/>
          <w:szCs w:val="24"/>
        </w:rPr>
        <w:t xml:space="preserve"> район» по</w:t>
      </w:r>
      <w:r w:rsidR="00DA6D3C" w:rsidRPr="00FB09D3">
        <w:rPr>
          <w:rFonts w:ascii="Times New Roman" w:hAnsi="Times New Roman"/>
          <w:sz w:val="24"/>
          <w:szCs w:val="24"/>
        </w:rPr>
        <w:t xml:space="preserve"> итогам 1 полугодия 202</w:t>
      </w:r>
      <w:r w:rsidR="008C6D74" w:rsidRPr="00FB09D3">
        <w:rPr>
          <w:rFonts w:ascii="Times New Roman" w:hAnsi="Times New Roman"/>
          <w:sz w:val="24"/>
          <w:szCs w:val="24"/>
        </w:rPr>
        <w:t>3</w:t>
      </w:r>
      <w:r w:rsidR="00DA6D3C" w:rsidRPr="00FB09D3">
        <w:rPr>
          <w:rFonts w:ascii="Times New Roman" w:hAnsi="Times New Roman"/>
          <w:sz w:val="24"/>
          <w:szCs w:val="24"/>
        </w:rPr>
        <w:t xml:space="preserve"> года </w:t>
      </w:r>
      <w:r w:rsidRPr="00FB09D3">
        <w:rPr>
          <w:rFonts w:ascii="Times New Roman" w:hAnsi="Times New Roman"/>
          <w:sz w:val="24"/>
          <w:szCs w:val="24"/>
        </w:rPr>
        <w:t>расходы бюджета исполнены в сумме</w:t>
      </w:r>
      <w:r w:rsidR="00DA6D3C" w:rsidRPr="00FB09D3">
        <w:rPr>
          <w:rFonts w:ascii="Times New Roman" w:hAnsi="Times New Roman"/>
          <w:sz w:val="24"/>
          <w:szCs w:val="24"/>
        </w:rPr>
        <w:t xml:space="preserve"> </w:t>
      </w:r>
      <w:r w:rsidR="008C6D74" w:rsidRPr="00FB09D3">
        <w:rPr>
          <w:rFonts w:ascii="Times New Roman" w:hAnsi="Times New Roman"/>
          <w:sz w:val="24"/>
          <w:szCs w:val="24"/>
        </w:rPr>
        <w:t>1 108 498,4</w:t>
      </w:r>
      <w:r w:rsidR="00002A50" w:rsidRPr="00FB09D3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="008C6D74" w:rsidRPr="00FB09D3">
        <w:rPr>
          <w:rFonts w:ascii="Times New Roman" w:hAnsi="Times New Roman"/>
          <w:sz w:val="24"/>
          <w:szCs w:val="24"/>
        </w:rPr>
        <w:t>47,6</w:t>
      </w:r>
      <w:r w:rsidR="00002A50" w:rsidRPr="00FB09D3">
        <w:rPr>
          <w:rFonts w:ascii="Times New Roman" w:hAnsi="Times New Roman"/>
          <w:sz w:val="24"/>
          <w:szCs w:val="24"/>
        </w:rPr>
        <w:t>% от годового плана.</w:t>
      </w:r>
      <w:r w:rsidR="008D6B14" w:rsidRPr="00FB09D3">
        <w:rPr>
          <w:rFonts w:ascii="Times New Roman" w:hAnsi="Times New Roman"/>
          <w:sz w:val="24"/>
          <w:szCs w:val="24"/>
        </w:rPr>
        <w:t xml:space="preserve"> </w:t>
      </w:r>
    </w:p>
    <w:p w:rsidR="001F23AF" w:rsidRPr="00FB09D3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По сравнению с аналогичным периодом 202</w:t>
      </w:r>
      <w:r w:rsidR="008C6D74" w:rsidRPr="00FB09D3">
        <w:rPr>
          <w:rFonts w:ascii="Times New Roman" w:hAnsi="Times New Roman"/>
          <w:sz w:val="24"/>
          <w:szCs w:val="24"/>
        </w:rPr>
        <w:t>2</w:t>
      </w:r>
      <w:r w:rsidRPr="00FB09D3">
        <w:rPr>
          <w:rFonts w:ascii="Times New Roman" w:hAnsi="Times New Roman"/>
          <w:sz w:val="24"/>
          <w:szCs w:val="24"/>
        </w:rPr>
        <w:t xml:space="preserve"> года расходы увеличились на </w:t>
      </w:r>
      <w:r w:rsidR="008C6D74" w:rsidRPr="00FB09D3">
        <w:rPr>
          <w:rFonts w:ascii="Times New Roman" w:hAnsi="Times New Roman"/>
          <w:sz w:val="24"/>
          <w:szCs w:val="24"/>
        </w:rPr>
        <w:t>144 452,7</w:t>
      </w:r>
      <w:r w:rsidRPr="00FB09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B09D3">
        <w:rPr>
          <w:rFonts w:ascii="Times New Roman" w:hAnsi="Times New Roman"/>
          <w:sz w:val="24"/>
          <w:szCs w:val="24"/>
        </w:rPr>
        <w:t>.р</w:t>
      </w:r>
      <w:proofErr w:type="gramEnd"/>
      <w:r w:rsidRPr="00FB09D3">
        <w:rPr>
          <w:rFonts w:ascii="Times New Roman" w:hAnsi="Times New Roman"/>
          <w:sz w:val="24"/>
          <w:szCs w:val="24"/>
        </w:rPr>
        <w:t>ублей.</w:t>
      </w:r>
    </w:p>
    <w:p w:rsidR="001F23AF" w:rsidRPr="00FB09D3" w:rsidRDefault="001F23AF" w:rsidP="001F2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Исполнение бюджета муниципального образов</w:t>
      </w:r>
      <w:r w:rsidR="008C6D74" w:rsidRPr="00FB09D3">
        <w:rPr>
          <w:rFonts w:ascii="Times New Roman" w:hAnsi="Times New Roman"/>
          <w:sz w:val="24"/>
          <w:szCs w:val="24"/>
        </w:rPr>
        <w:t>ания «</w:t>
      </w:r>
      <w:proofErr w:type="spellStart"/>
      <w:r w:rsidR="008C6D74" w:rsidRPr="00FB09D3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="008C6D74" w:rsidRPr="00FB09D3">
        <w:rPr>
          <w:rFonts w:ascii="Times New Roman" w:hAnsi="Times New Roman"/>
          <w:sz w:val="24"/>
          <w:szCs w:val="24"/>
        </w:rPr>
        <w:t xml:space="preserve"> район» в 2023 году осуществляется в рамках 14</w:t>
      </w:r>
      <w:r w:rsidRPr="00FB09D3">
        <w:rPr>
          <w:rFonts w:ascii="Times New Roman" w:hAnsi="Times New Roman"/>
          <w:sz w:val="24"/>
          <w:szCs w:val="24"/>
        </w:rPr>
        <w:t xml:space="preserve"> муниципальных программ. Объем финансирования муниципальных программ, предусмотренный в бюджете на 01.07.202</w:t>
      </w:r>
      <w:r w:rsidR="008C6D74" w:rsidRPr="00FB09D3">
        <w:rPr>
          <w:rFonts w:ascii="Times New Roman" w:hAnsi="Times New Roman"/>
          <w:sz w:val="24"/>
          <w:szCs w:val="24"/>
        </w:rPr>
        <w:t>3</w:t>
      </w:r>
      <w:r w:rsidR="00A10A29" w:rsidRPr="00FB09D3">
        <w:rPr>
          <w:rFonts w:ascii="Times New Roman" w:hAnsi="Times New Roman"/>
          <w:sz w:val="24"/>
          <w:szCs w:val="24"/>
        </w:rPr>
        <w:t>г.</w:t>
      </w:r>
      <w:r w:rsidRPr="00FB09D3">
        <w:rPr>
          <w:rFonts w:ascii="Times New Roman" w:hAnsi="Times New Roman"/>
          <w:sz w:val="24"/>
          <w:szCs w:val="24"/>
        </w:rPr>
        <w:t xml:space="preserve">, составляет </w:t>
      </w:r>
      <w:r w:rsidR="00712F45" w:rsidRPr="00FB09D3">
        <w:rPr>
          <w:rFonts w:ascii="Times New Roman" w:hAnsi="Times New Roman"/>
          <w:sz w:val="24"/>
          <w:szCs w:val="24"/>
        </w:rPr>
        <w:t>764 859,1</w:t>
      </w:r>
      <w:r w:rsidRPr="00FB09D3">
        <w:rPr>
          <w:rFonts w:ascii="Times New Roman" w:hAnsi="Times New Roman"/>
          <w:sz w:val="24"/>
          <w:szCs w:val="24"/>
        </w:rPr>
        <w:t xml:space="preserve"> тыс. рублей или </w:t>
      </w:r>
      <w:r w:rsidR="00712F45" w:rsidRPr="00FB09D3">
        <w:rPr>
          <w:rFonts w:ascii="Times New Roman" w:hAnsi="Times New Roman"/>
          <w:sz w:val="24"/>
          <w:szCs w:val="24"/>
        </w:rPr>
        <w:t>32,8</w:t>
      </w:r>
      <w:r w:rsidRPr="00FB09D3">
        <w:rPr>
          <w:rFonts w:ascii="Times New Roman" w:hAnsi="Times New Roman"/>
          <w:sz w:val="24"/>
          <w:szCs w:val="24"/>
        </w:rPr>
        <w:t xml:space="preserve">% от общего годового объема утвержденных расходов. </w:t>
      </w:r>
    </w:p>
    <w:p w:rsidR="008D6B14" w:rsidRPr="00FB09D3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Исполнение расходной части бюджета МО «</w:t>
      </w:r>
      <w:proofErr w:type="spellStart"/>
      <w:r w:rsidRPr="00FB09D3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Pr="00FB09D3">
        <w:rPr>
          <w:rFonts w:ascii="Times New Roman" w:hAnsi="Times New Roman"/>
          <w:sz w:val="24"/>
          <w:szCs w:val="24"/>
        </w:rPr>
        <w:t xml:space="preserve"> район» представлено в таблице 3.</w:t>
      </w:r>
    </w:p>
    <w:p w:rsidR="00CF08A1" w:rsidRDefault="00CF08A1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91F6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96C4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5A3D3D" w:rsidRPr="006131C0" w:rsidRDefault="005A3D3D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131C0">
        <w:rPr>
          <w:rFonts w:ascii="Times New Roman" w:hAnsi="Times New Roman"/>
          <w:b/>
          <w:sz w:val="24"/>
          <w:szCs w:val="24"/>
        </w:rPr>
        <w:t>Структура расходов бюджета МО «</w:t>
      </w:r>
      <w:proofErr w:type="spellStart"/>
      <w:r w:rsidRPr="006131C0">
        <w:rPr>
          <w:rFonts w:ascii="Times New Roman" w:hAnsi="Times New Roman"/>
          <w:b/>
          <w:sz w:val="24"/>
          <w:szCs w:val="24"/>
        </w:rPr>
        <w:t>Колпашевский</w:t>
      </w:r>
      <w:proofErr w:type="spellEnd"/>
      <w:r w:rsidRPr="006131C0">
        <w:rPr>
          <w:rFonts w:ascii="Times New Roman" w:hAnsi="Times New Roman"/>
          <w:b/>
          <w:sz w:val="24"/>
          <w:szCs w:val="24"/>
        </w:rPr>
        <w:t xml:space="preserve"> район» </w:t>
      </w:r>
      <w:r w:rsidR="00712F45" w:rsidRPr="006131C0">
        <w:rPr>
          <w:rFonts w:ascii="Times New Roman" w:hAnsi="Times New Roman"/>
          <w:b/>
          <w:sz w:val="24"/>
          <w:szCs w:val="24"/>
        </w:rPr>
        <w:t>за 1 полугодие 2023</w:t>
      </w:r>
      <w:r w:rsidRPr="006131C0">
        <w:rPr>
          <w:rFonts w:ascii="Times New Roman" w:hAnsi="Times New Roman"/>
          <w:b/>
          <w:sz w:val="24"/>
          <w:szCs w:val="24"/>
        </w:rPr>
        <w:t>г.</w:t>
      </w:r>
    </w:p>
    <w:p w:rsidR="005A3D3D" w:rsidRPr="00191F63" w:rsidRDefault="005A3D3D" w:rsidP="005A3D3D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="00191F63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5A3D3D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191F63">
        <w:rPr>
          <w:rFonts w:ascii="Times New Roman" w:hAnsi="Times New Roman"/>
          <w:color w:val="000000" w:themeColor="text1"/>
          <w:sz w:val="20"/>
          <w:szCs w:val="20"/>
        </w:rPr>
        <w:t>(тыс</w:t>
      </w:r>
      <w:proofErr w:type="gramStart"/>
      <w:r w:rsidRPr="00191F63">
        <w:rPr>
          <w:rFonts w:ascii="Times New Roman" w:hAnsi="Times New Roman"/>
          <w:color w:val="000000" w:themeColor="text1"/>
          <w:sz w:val="20"/>
          <w:szCs w:val="20"/>
        </w:rPr>
        <w:t>.р</w:t>
      </w:r>
      <w:proofErr w:type="gramEnd"/>
      <w:r w:rsidRPr="00191F63">
        <w:rPr>
          <w:rFonts w:ascii="Times New Roman" w:hAnsi="Times New Roman"/>
          <w:color w:val="000000" w:themeColor="text1"/>
          <w:sz w:val="20"/>
          <w:szCs w:val="20"/>
        </w:rPr>
        <w:t>ублей)</w:t>
      </w:r>
    </w:p>
    <w:tbl>
      <w:tblPr>
        <w:tblW w:w="9361" w:type="dxa"/>
        <w:tblInd w:w="103" w:type="dxa"/>
        <w:tblLayout w:type="fixed"/>
        <w:tblLook w:val="04A0"/>
      </w:tblPr>
      <w:tblGrid>
        <w:gridCol w:w="4825"/>
        <w:gridCol w:w="1559"/>
        <w:gridCol w:w="1418"/>
        <w:gridCol w:w="1559"/>
      </w:tblGrid>
      <w:tr w:rsidR="008D6B14" w:rsidRPr="007F4EA5" w:rsidTr="00E55652">
        <w:trPr>
          <w:trHeight w:val="87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Pr="006131C0" w:rsidRDefault="005A3D3D" w:rsidP="00972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1C0">
              <w:rPr>
                <w:rFonts w:ascii="Times New Roman" w:hAnsi="Times New Roman"/>
                <w:b/>
              </w:rPr>
              <w:t>На</w:t>
            </w:r>
            <w:r w:rsidR="008D6B14" w:rsidRPr="006131C0">
              <w:rPr>
                <w:rFonts w:ascii="Times New Roman" w:hAnsi="Times New Roman" w:cs="Times New Roman"/>
                <w:b/>
              </w:rPr>
              <w:t>именование показателя</w:t>
            </w:r>
          </w:p>
          <w:p w:rsidR="008D6B14" w:rsidRPr="006131C0" w:rsidRDefault="008D6B14" w:rsidP="0097232B">
            <w:pPr>
              <w:pStyle w:val="2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4" w:rsidRPr="006131C0" w:rsidRDefault="008D6B14" w:rsidP="0097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1C0">
              <w:rPr>
                <w:rFonts w:ascii="Times New Roman" w:hAnsi="Times New Roman" w:cs="Times New Roman"/>
                <w:b/>
              </w:rPr>
              <w:t>План</w:t>
            </w:r>
          </w:p>
          <w:p w:rsidR="00346C37" w:rsidRPr="006131C0" w:rsidRDefault="00346C37" w:rsidP="003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1C0">
              <w:rPr>
                <w:rFonts w:ascii="Times New Roman" w:hAnsi="Times New Roman" w:cs="Times New Roman"/>
                <w:b/>
              </w:rPr>
              <w:t>н</w:t>
            </w:r>
            <w:r w:rsidR="008D6B14" w:rsidRPr="006131C0">
              <w:rPr>
                <w:rFonts w:ascii="Times New Roman" w:hAnsi="Times New Roman" w:cs="Times New Roman"/>
                <w:b/>
              </w:rPr>
              <w:t>а</w:t>
            </w:r>
          </w:p>
          <w:p w:rsidR="008D6B14" w:rsidRPr="006131C0" w:rsidRDefault="008D6B14" w:rsidP="0034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1C0">
              <w:rPr>
                <w:rFonts w:ascii="Times New Roman" w:hAnsi="Times New Roman" w:cs="Times New Roman"/>
                <w:b/>
              </w:rPr>
              <w:t xml:space="preserve"> </w:t>
            </w:r>
            <w:r w:rsidR="00346C37" w:rsidRPr="006131C0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8D6B14" w:rsidP="0097232B">
            <w:pPr>
              <w:pStyle w:val="2"/>
              <w:rPr>
                <w:sz w:val="22"/>
                <w:szCs w:val="22"/>
                <w:lang w:eastAsia="en-US"/>
              </w:rPr>
            </w:pPr>
            <w:r w:rsidRPr="006131C0">
              <w:rPr>
                <w:sz w:val="22"/>
                <w:szCs w:val="22"/>
                <w:lang w:eastAsia="en-US"/>
              </w:rPr>
              <w:t>Исполнено на 01.07.202</w:t>
            </w:r>
            <w:r w:rsidR="00AD0388" w:rsidRPr="006131C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E55652" w:rsidP="00E55652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sz w:val="22"/>
                <w:szCs w:val="22"/>
                <w:lang w:eastAsia="en-US"/>
              </w:rPr>
              <w:t>%</w:t>
            </w:r>
            <w:r w:rsidR="005A3D3D" w:rsidRPr="006131C0">
              <w:rPr>
                <w:sz w:val="22"/>
                <w:szCs w:val="22"/>
                <w:lang w:eastAsia="en-US"/>
              </w:rPr>
              <w:t xml:space="preserve"> исполнения 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8D6B14" w:rsidP="0097232B">
            <w:pPr>
              <w:pStyle w:val="2"/>
              <w:spacing w:line="27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125 020,3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57 241,4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EE1B74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45,8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1 745,3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958,3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EE1B74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54,9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D20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Национальная безопасность</w:t>
            </w:r>
          </w:p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11 678,6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EE1B74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1,7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117 003,0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34 859,2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EE1B74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29,8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80 487,4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30 537,9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37,9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1 560 854,9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762 855,5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48,9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209 635,7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109 396,1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52,2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6131C0" w:rsidRDefault="008D6B14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67 559,1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30 524,</w:t>
            </w:r>
            <w:r w:rsidR="00EE1B74" w:rsidRPr="006131C0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45,2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6131C0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23 764,9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11 006,5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46,3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14" w:rsidRPr="006131C0" w:rsidRDefault="0097232B" w:rsidP="0097232B">
            <w:pPr>
              <w:pStyle w:val="2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133 185,0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346C37" w:rsidP="005A3D3D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6131C0">
              <w:rPr>
                <w:b w:val="0"/>
                <w:sz w:val="22"/>
                <w:szCs w:val="22"/>
                <w:lang w:eastAsia="en-US"/>
              </w:rPr>
              <w:t>70 915,8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B14" w:rsidRPr="006131C0" w:rsidRDefault="00EE1B74" w:rsidP="005A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1C0">
              <w:rPr>
                <w:rFonts w:ascii="Times New Roman" w:hAnsi="Times New Roman" w:cs="Times New Roman"/>
              </w:rPr>
              <w:t>53,2</w:t>
            </w:r>
          </w:p>
        </w:tc>
      </w:tr>
      <w:tr w:rsidR="008D6B14" w:rsidRPr="007F4EA5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B14" w:rsidRPr="006131C0" w:rsidRDefault="0097232B" w:rsidP="00E55652">
            <w:pPr>
              <w:pStyle w:val="2"/>
              <w:rPr>
                <w:sz w:val="22"/>
                <w:szCs w:val="22"/>
                <w:lang w:eastAsia="en-US"/>
              </w:rPr>
            </w:pPr>
            <w:r w:rsidRPr="006131C0">
              <w:rPr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E55652">
            <w:pPr>
              <w:pStyle w:val="2"/>
              <w:rPr>
                <w:bCs/>
                <w:sz w:val="22"/>
                <w:szCs w:val="22"/>
                <w:lang w:eastAsia="en-US"/>
              </w:rPr>
            </w:pPr>
            <w:r w:rsidRPr="006131C0">
              <w:rPr>
                <w:bCs/>
                <w:sz w:val="22"/>
                <w:szCs w:val="22"/>
                <w:lang w:eastAsia="en-US"/>
              </w:rPr>
              <w:t>2 330 934,2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346C37" w:rsidP="00E55652">
            <w:pPr>
              <w:pStyle w:val="2"/>
              <w:rPr>
                <w:bCs/>
                <w:sz w:val="22"/>
                <w:szCs w:val="22"/>
                <w:lang w:eastAsia="en-US"/>
              </w:rPr>
            </w:pPr>
            <w:r w:rsidRPr="006131C0">
              <w:rPr>
                <w:bCs/>
                <w:sz w:val="22"/>
                <w:szCs w:val="22"/>
                <w:lang w:eastAsia="en-US"/>
              </w:rPr>
              <w:t>1 108 498,4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B14" w:rsidRPr="006131C0" w:rsidRDefault="00EE1B74" w:rsidP="00E55652">
            <w:pPr>
              <w:pStyle w:val="2"/>
              <w:rPr>
                <w:bCs/>
                <w:sz w:val="22"/>
                <w:szCs w:val="22"/>
                <w:lang w:eastAsia="en-US"/>
              </w:rPr>
            </w:pPr>
            <w:r w:rsidRPr="006131C0">
              <w:rPr>
                <w:bCs/>
                <w:sz w:val="22"/>
                <w:szCs w:val="22"/>
                <w:lang w:eastAsia="en-US"/>
              </w:rPr>
              <w:t>47,6</w:t>
            </w:r>
          </w:p>
        </w:tc>
      </w:tr>
    </w:tbl>
    <w:p w:rsidR="006131C0" w:rsidRPr="006131C0" w:rsidRDefault="006131C0" w:rsidP="00E64D6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43D4" w:rsidRPr="00FB09D3" w:rsidRDefault="002566C2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И</w:t>
      </w:r>
      <w:r w:rsidR="004C2D20" w:rsidRPr="00FB09D3">
        <w:rPr>
          <w:rFonts w:ascii="Times New Roman" w:hAnsi="Times New Roman"/>
          <w:sz w:val="24"/>
          <w:szCs w:val="24"/>
        </w:rPr>
        <w:t>сполнение бюджетных расходов на реализацию национальных прое</w:t>
      </w:r>
      <w:r w:rsidR="00191F63">
        <w:rPr>
          <w:rFonts w:ascii="Times New Roman" w:hAnsi="Times New Roman"/>
          <w:sz w:val="24"/>
          <w:szCs w:val="24"/>
        </w:rPr>
        <w:t xml:space="preserve">ктов на отчетную дату составило </w:t>
      </w:r>
      <w:r w:rsidR="00712F45" w:rsidRPr="00FB09D3">
        <w:rPr>
          <w:rFonts w:ascii="Times New Roman" w:hAnsi="Times New Roman"/>
          <w:sz w:val="24"/>
          <w:szCs w:val="24"/>
        </w:rPr>
        <w:t>9 534,1</w:t>
      </w:r>
      <w:r w:rsidR="004C2D20" w:rsidRPr="00FB09D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4C2D20" w:rsidRPr="00FB09D3">
        <w:rPr>
          <w:rFonts w:ascii="Times New Roman" w:hAnsi="Times New Roman"/>
          <w:sz w:val="24"/>
          <w:szCs w:val="24"/>
        </w:rPr>
        <w:t>.р</w:t>
      </w:r>
      <w:proofErr w:type="gramEnd"/>
      <w:r w:rsidR="004C2D20" w:rsidRPr="00FB09D3">
        <w:rPr>
          <w:rFonts w:ascii="Times New Roman" w:hAnsi="Times New Roman"/>
          <w:sz w:val="24"/>
          <w:szCs w:val="24"/>
        </w:rPr>
        <w:t>ублей</w:t>
      </w:r>
      <w:r w:rsidRPr="00FB09D3">
        <w:rPr>
          <w:rFonts w:ascii="Times New Roman" w:hAnsi="Times New Roman"/>
          <w:sz w:val="24"/>
          <w:szCs w:val="24"/>
        </w:rPr>
        <w:t xml:space="preserve"> </w:t>
      </w:r>
      <w:r w:rsidR="004C2D20" w:rsidRPr="00FB09D3">
        <w:rPr>
          <w:rFonts w:ascii="Times New Roman" w:hAnsi="Times New Roman"/>
          <w:sz w:val="24"/>
          <w:szCs w:val="24"/>
        </w:rPr>
        <w:t>(</w:t>
      </w:r>
      <w:r w:rsidR="00712F45" w:rsidRPr="00FB09D3">
        <w:rPr>
          <w:rFonts w:ascii="Times New Roman" w:hAnsi="Times New Roman"/>
          <w:sz w:val="24"/>
          <w:szCs w:val="24"/>
        </w:rPr>
        <w:t>24,1</w:t>
      </w:r>
      <w:r w:rsidR="004C2D20" w:rsidRPr="00FB09D3">
        <w:rPr>
          <w:rFonts w:ascii="Times New Roman" w:hAnsi="Times New Roman"/>
          <w:sz w:val="24"/>
          <w:szCs w:val="24"/>
        </w:rPr>
        <w:t xml:space="preserve"> % от утвержденных бюджетных ассигнований).</w:t>
      </w:r>
    </w:p>
    <w:p w:rsidR="00E64D69" w:rsidRPr="00FB09D3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lastRenderedPageBreak/>
        <w:t xml:space="preserve">Источниками внутреннего финансирования </w:t>
      </w:r>
      <w:r w:rsidR="002E5EC2" w:rsidRPr="00FB09D3">
        <w:rPr>
          <w:rFonts w:ascii="Times New Roman" w:hAnsi="Times New Roman"/>
          <w:sz w:val="24"/>
          <w:szCs w:val="24"/>
        </w:rPr>
        <w:t>дефицита местного бюджета</w:t>
      </w:r>
      <w:r w:rsidR="00601C4B" w:rsidRPr="00FB09D3">
        <w:rPr>
          <w:rFonts w:ascii="Times New Roman" w:hAnsi="Times New Roman"/>
          <w:sz w:val="24"/>
          <w:szCs w:val="24"/>
        </w:rPr>
        <w:t xml:space="preserve"> является</w:t>
      </w:r>
      <w:r w:rsidRPr="00FB09D3">
        <w:rPr>
          <w:rFonts w:ascii="Times New Roman" w:hAnsi="Times New Roman"/>
          <w:sz w:val="24"/>
          <w:szCs w:val="24"/>
        </w:rPr>
        <w:t xml:space="preserve"> изменение остатков средств на</w:t>
      </w:r>
      <w:r w:rsidR="002E5EC2" w:rsidRPr="00FB09D3">
        <w:rPr>
          <w:rFonts w:ascii="Times New Roman" w:hAnsi="Times New Roman"/>
          <w:sz w:val="24"/>
          <w:szCs w:val="24"/>
        </w:rPr>
        <w:t xml:space="preserve"> счетах по учету средств местного бюджета</w:t>
      </w:r>
      <w:r w:rsidR="00C372F3" w:rsidRPr="00FB09D3">
        <w:rPr>
          <w:rFonts w:ascii="Times New Roman" w:hAnsi="Times New Roman"/>
          <w:sz w:val="24"/>
          <w:szCs w:val="24"/>
        </w:rPr>
        <w:t xml:space="preserve">, что </w:t>
      </w:r>
      <w:r w:rsidRPr="00FB09D3">
        <w:rPr>
          <w:rFonts w:ascii="Times New Roman" w:hAnsi="Times New Roman"/>
          <w:sz w:val="24"/>
          <w:szCs w:val="24"/>
        </w:rPr>
        <w:t>соответствует требованиям статьи 96 БК РФ.</w:t>
      </w:r>
    </w:p>
    <w:p w:rsidR="00E64D69" w:rsidRPr="00FB09D3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>Р</w:t>
      </w:r>
      <w:r w:rsidR="00E64D69" w:rsidRPr="00FB09D3">
        <w:rPr>
          <w:rFonts w:ascii="Times New Roman" w:hAnsi="Times New Roman"/>
          <w:sz w:val="24"/>
          <w:szCs w:val="24"/>
        </w:rPr>
        <w:t xml:space="preserve">асходы дорожного фонда исполнены в сумме </w:t>
      </w:r>
      <w:r w:rsidR="004D5431" w:rsidRPr="00FB09D3">
        <w:rPr>
          <w:rFonts w:ascii="Times New Roman" w:hAnsi="Times New Roman"/>
          <w:sz w:val="24"/>
          <w:szCs w:val="24"/>
        </w:rPr>
        <w:t>15 815,3</w:t>
      </w:r>
      <w:r w:rsidR="00E64D69" w:rsidRPr="00FB09D3">
        <w:rPr>
          <w:rFonts w:ascii="Times New Roman" w:hAnsi="Times New Roman"/>
          <w:sz w:val="24"/>
          <w:szCs w:val="24"/>
        </w:rPr>
        <w:t xml:space="preserve"> тыс. рублей или </w:t>
      </w:r>
      <w:r w:rsidR="004D5431" w:rsidRPr="00FB09D3">
        <w:rPr>
          <w:rFonts w:ascii="Times New Roman" w:hAnsi="Times New Roman"/>
          <w:sz w:val="24"/>
          <w:szCs w:val="24"/>
        </w:rPr>
        <w:t>24,1</w:t>
      </w:r>
      <w:r w:rsidR="00E64D69" w:rsidRPr="00FB09D3">
        <w:rPr>
          <w:rFonts w:ascii="Times New Roman" w:hAnsi="Times New Roman"/>
          <w:sz w:val="24"/>
          <w:szCs w:val="24"/>
        </w:rPr>
        <w:t xml:space="preserve">% </w:t>
      </w:r>
      <w:r w:rsidR="004D5431" w:rsidRPr="00FB09D3">
        <w:rPr>
          <w:rFonts w:ascii="Times New Roman" w:hAnsi="Times New Roman"/>
          <w:sz w:val="24"/>
          <w:szCs w:val="24"/>
        </w:rPr>
        <w:t>от утвержденных бюджетных назначений</w:t>
      </w:r>
      <w:r w:rsidR="00E64D69" w:rsidRPr="00FB09D3">
        <w:rPr>
          <w:rFonts w:ascii="Times New Roman" w:hAnsi="Times New Roman"/>
          <w:sz w:val="24"/>
          <w:szCs w:val="24"/>
        </w:rPr>
        <w:t>.</w:t>
      </w:r>
    </w:p>
    <w:p w:rsidR="0067504C" w:rsidRPr="00FB09D3" w:rsidRDefault="00963BD6" w:rsidP="0067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9D3">
        <w:rPr>
          <w:rFonts w:ascii="Times New Roman" w:hAnsi="Times New Roman" w:cs="Times New Roman"/>
          <w:sz w:val="24"/>
          <w:szCs w:val="24"/>
        </w:rPr>
        <w:t xml:space="preserve">Согласно отчетным </w:t>
      </w:r>
      <w:r w:rsidR="00D95AE4" w:rsidRPr="00FB09D3">
        <w:rPr>
          <w:rFonts w:ascii="Times New Roman" w:hAnsi="Times New Roman" w:cs="Times New Roman"/>
          <w:sz w:val="24"/>
          <w:szCs w:val="24"/>
        </w:rPr>
        <w:t>данным ф. 0503369 «Сведения по дебиторской и кредиторской задолженности» р</w:t>
      </w:r>
      <w:r w:rsidR="00695F6B" w:rsidRPr="00FB09D3">
        <w:rPr>
          <w:rFonts w:ascii="Times New Roman" w:hAnsi="Times New Roman" w:cs="Times New Roman"/>
          <w:sz w:val="24"/>
          <w:szCs w:val="24"/>
        </w:rPr>
        <w:t>азмер общей дебиторской задолженности МО «</w:t>
      </w:r>
      <w:proofErr w:type="spellStart"/>
      <w:r w:rsidR="00695F6B" w:rsidRPr="00FB09D3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="00695F6B" w:rsidRPr="00FB09D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(без учета безвозмездных поступлений)</w:t>
      </w:r>
      <w:r w:rsidR="00695F6B" w:rsidRPr="00FB09D3">
        <w:rPr>
          <w:rFonts w:ascii="Times New Roman" w:hAnsi="Times New Roman" w:cs="Times New Roman"/>
          <w:sz w:val="24"/>
          <w:szCs w:val="24"/>
        </w:rPr>
        <w:t xml:space="preserve"> на 01.01.20</w:t>
      </w:r>
      <w:r w:rsidR="004D5431" w:rsidRPr="00FB09D3">
        <w:rPr>
          <w:rFonts w:ascii="Times New Roman" w:hAnsi="Times New Roman" w:cs="Times New Roman"/>
          <w:sz w:val="24"/>
          <w:szCs w:val="24"/>
        </w:rPr>
        <w:t>23</w:t>
      </w:r>
      <w:r w:rsidR="00695F6B" w:rsidRPr="00FB09D3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4D5431" w:rsidRPr="00FB09D3">
        <w:rPr>
          <w:rFonts w:ascii="Times New Roman" w:hAnsi="Times New Roman" w:cs="Times New Roman"/>
          <w:sz w:val="24"/>
          <w:szCs w:val="24"/>
        </w:rPr>
        <w:t>139 379,8</w:t>
      </w:r>
      <w:r w:rsidR="006131C0">
        <w:rPr>
          <w:rFonts w:ascii="Times New Roman" w:hAnsi="Times New Roman" w:cs="Times New Roman"/>
          <w:sz w:val="24"/>
          <w:szCs w:val="24"/>
        </w:rPr>
        <w:t xml:space="preserve"> </w:t>
      </w:r>
      <w:r w:rsidR="00CB7BD8" w:rsidRPr="00FB09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B7BD8" w:rsidRPr="00FB09D3">
        <w:rPr>
          <w:rFonts w:ascii="Times New Roman" w:hAnsi="Times New Roman" w:cs="Times New Roman"/>
          <w:sz w:val="24"/>
          <w:szCs w:val="24"/>
        </w:rPr>
        <w:t>.</w:t>
      </w:r>
      <w:r w:rsidR="00695F6B" w:rsidRPr="00FB09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5F6B" w:rsidRPr="00FB09D3">
        <w:rPr>
          <w:rFonts w:ascii="Times New Roman" w:hAnsi="Times New Roman" w:cs="Times New Roman"/>
          <w:sz w:val="24"/>
          <w:szCs w:val="24"/>
        </w:rPr>
        <w:t>уб</w:t>
      </w:r>
      <w:r w:rsidR="00CB7BD8" w:rsidRPr="00FB09D3">
        <w:rPr>
          <w:rFonts w:ascii="Times New Roman" w:hAnsi="Times New Roman" w:cs="Times New Roman"/>
          <w:sz w:val="24"/>
          <w:szCs w:val="24"/>
        </w:rPr>
        <w:t>лей</w:t>
      </w:r>
      <w:r w:rsidR="00695F6B" w:rsidRPr="00FB09D3">
        <w:rPr>
          <w:rFonts w:ascii="Times New Roman" w:hAnsi="Times New Roman" w:cs="Times New Roman"/>
          <w:sz w:val="24"/>
          <w:szCs w:val="24"/>
        </w:rPr>
        <w:t xml:space="preserve"> (в том числе просроченная дебиторская задолженность </w:t>
      </w:r>
      <w:r w:rsidR="004F49F2" w:rsidRPr="00FB09D3">
        <w:rPr>
          <w:rFonts w:ascii="Times New Roman" w:hAnsi="Times New Roman" w:cs="Times New Roman"/>
          <w:sz w:val="24"/>
          <w:szCs w:val="24"/>
        </w:rPr>
        <w:t>7,6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695F6B" w:rsidRPr="00FB09D3">
        <w:rPr>
          <w:rFonts w:ascii="Times New Roman" w:hAnsi="Times New Roman" w:cs="Times New Roman"/>
          <w:sz w:val="24"/>
          <w:szCs w:val="24"/>
        </w:rPr>
        <w:t>), на 01.07.20</w:t>
      </w:r>
      <w:r w:rsidR="004F49F2" w:rsidRPr="00FB09D3">
        <w:rPr>
          <w:rFonts w:ascii="Times New Roman" w:hAnsi="Times New Roman" w:cs="Times New Roman"/>
          <w:sz w:val="24"/>
          <w:szCs w:val="24"/>
        </w:rPr>
        <w:t>23</w:t>
      </w:r>
      <w:r w:rsidR="00695F6B" w:rsidRPr="00FB09D3">
        <w:rPr>
          <w:rFonts w:ascii="Times New Roman" w:hAnsi="Times New Roman" w:cs="Times New Roman"/>
          <w:sz w:val="24"/>
          <w:szCs w:val="24"/>
        </w:rPr>
        <w:t xml:space="preserve"> г. – </w:t>
      </w:r>
      <w:r w:rsidR="004F49F2" w:rsidRPr="00FB09D3">
        <w:rPr>
          <w:rFonts w:ascii="Times New Roman" w:hAnsi="Times New Roman" w:cs="Times New Roman"/>
          <w:sz w:val="24"/>
          <w:szCs w:val="24"/>
        </w:rPr>
        <w:t>267 645,2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695F6B" w:rsidRPr="00FB09D3">
        <w:rPr>
          <w:rFonts w:ascii="Times New Roman" w:hAnsi="Times New Roman" w:cs="Times New Roman"/>
          <w:sz w:val="24"/>
          <w:szCs w:val="24"/>
        </w:rPr>
        <w:t>(в том числе просроч</w:t>
      </w:r>
      <w:r w:rsidR="004F49F2" w:rsidRPr="00FB09D3">
        <w:rPr>
          <w:rFonts w:ascii="Times New Roman" w:hAnsi="Times New Roman" w:cs="Times New Roman"/>
          <w:sz w:val="24"/>
          <w:szCs w:val="24"/>
        </w:rPr>
        <w:t>енная дебиторская задолженность 7,6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5F6B" w:rsidRPr="00FB09D3">
        <w:rPr>
          <w:rFonts w:ascii="Times New Roman" w:hAnsi="Times New Roman" w:cs="Times New Roman"/>
          <w:sz w:val="24"/>
          <w:szCs w:val="24"/>
        </w:rPr>
        <w:t>).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Размер кредиторской задолженности МО «</w:t>
      </w:r>
      <w:proofErr w:type="spellStart"/>
      <w:r w:rsidR="00D95AE4" w:rsidRPr="00FB09D3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="00D95AE4" w:rsidRPr="00FB09D3">
        <w:rPr>
          <w:rFonts w:ascii="Times New Roman" w:hAnsi="Times New Roman" w:cs="Times New Roman"/>
          <w:sz w:val="24"/>
          <w:szCs w:val="24"/>
        </w:rPr>
        <w:t xml:space="preserve"> район» на 01.01.20</w:t>
      </w:r>
      <w:r w:rsidR="004F49F2" w:rsidRPr="00FB09D3">
        <w:rPr>
          <w:rFonts w:ascii="Times New Roman" w:hAnsi="Times New Roman" w:cs="Times New Roman"/>
          <w:sz w:val="24"/>
          <w:szCs w:val="24"/>
        </w:rPr>
        <w:t>23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4F49F2" w:rsidRPr="00FB09D3">
        <w:rPr>
          <w:rFonts w:ascii="Times New Roman" w:hAnsi="Times New Roman" w:cs="Times New Roman"/>
          <w:sz w:val="24"/>
          <w:szCs w:val="24"/>
        </w:rPr>
        <w:t>95 805,5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95AE4" w:rsidRPr="00FB09D3">
        <w:rPr>
          <w:rFonts w:ascii="Times New Roman" w:hAnsi="Times New Roman" w:cs="Times New Roman"/>
          <w:sz w:val="24"/>
          <w:szCs w:val="24"/>
        </w:rPr>
        <w:t>, на 01.07.202</w:t>
      </w:r>
      <w:r w:rsidR="004F49F2" w:rsidRPr="00FB09D3">
        <w:rPr>
          <w:rFonts w:ascii="Times New Roman" w:hAnsi="Times New Roman" w:cs="Times New Roman"/>
          <w:sz w:val="24"/>
          <w:szCs w:val="24"/>
        </w:rPr>
        <w:t>3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г. – </w:t>
      </w:r>
      <w:r w:rsidR="004F49F2" w:rsidRPr="00FB09D3">
        <w:rPr>
          <w:rFonts w:ascii="Times New Roman" w:hAnsi="Times New Roman" w:cs="Times New Roman"/>
          <w:sz w:val="24"/>
          <w:szCs w:val="24"/>
        </w:rPr>
        <w:t>11 588,9</w:t>
      </w:r>
      <w:r w:rsidR="00CB7BD8" w:rsidRPr="00FB09D3">
        <w:rPr>
          <w:rFonts w:ascii="Times New Roman" w:hAnsi="Times New Roman" w:cs="Times New Roman"/>
          <w:sz w:val="24"/>
          <w:szCs w:val="24"/>
        </w:rPr>
        <w:t xml:space="preserve"> тыс.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руб</w:t>
      </w:r>
      <w:r w:rsidR="00CB7BD8" w:rsidRPr="00FB09D3">
        <w:rPr>
          <w:rFonts w:ascii="Times New Roman" w:hAnsi="Times New Roman" w:cs="Times New Roman"/>
          <w:sz w:val="24"/>
          <w:szCs w:val="24"/>
        </w:rPr>
        <w:t>лей.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</w:t>
      </w:r>
      <w:r w:rsidR="004D30EA" w:rsidRPr="00FB09D3">
        <w:rPr>
          <w:rFonts w:ascii="Times New Roman" w:hAnsi="Times New Roman" w:cs="Times New Roman"/>
          <w:sz w:val="24"/>
          <w:szCs w:val="24"/>
        </w:rPr>
        <w:t>П</w:t>
      </w:r>
      <w:r w:rsidR="00D95AE4" w:rsidRPr="00FB09D3">
        <w:rPr>
          <w:rFonts w:ascii="Times New Roman" w:hAnsi="Times New Roman" w:cs="Times New Roman"/>
          <w:sz w:val="24"/>
          <w:szCs w:val="24"/>
        </w:rPr>
        <w:t>росроченн</w:t>
      </w:r>
      <w:r w:rsidR="004D30EA" w:rsidRPr="00FB09D3">
        <w:rPr>
          <w:rFonts w:ascii="Times New Roman" w:hAnsi="Times New Roman" w:cs="Times New Roman"/>
          <w:sz w:val="24"/>
          <w:szCs w:val="24"/>
        </w:rPr>
        <w:t>ая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кредиторск</w:t>
      </w:r>
      <w:r w:rsidR="004D30EA" w:rsidRPr="00FB09D3">
        <w:rPr>
          <w:rFonts w:ascii="Times New Roman" w:hAnsi="Times New Roman" w:cs="Times New Roman"/>
          <w:sz w:val="24"/>
          <w:szCs w:val="24"/>
        </w:rPr>
        <w:t>ая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4D30EA" w:rsidRPr="00FB09D3">
        <w:rPr>
          <w:rFonts w:ascii="Times New Roman" w:hAnsi="Times New Roman" w:cs="Times New Roman"/>
          <w:sz w:val="24"/>
          <w:szCs w:val="24"/>
        </w:rPr>
        <w:t>ь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 </w:t>
      </w:r>
      <w:r w:rsidR="004D30EA" w:rsidRPr="00FB09D3">
        <w:rPr>
          <w:rFonts w:ascii="Times New Roman" w:hAnsi="Times New Roman" w:cs="Times New Roman"/>
          <w:sz w:val="24"/>
          <w:szCs w:val="24"/>
        </w:rPr>
        <w:t>отсутствует</w:t>
      </w:r>
      <w:r w:rsidR="00D95AE4" w:rsidRPr="00FB0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6B7" w:rsidRPr="00FB09D3" w:rsidRDefault="005B56B7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Объем муниципального внутреннего долга на 01.0</w:t>
      </w:r>
      <w:r w:rsidR="000E563B" w:rsidRPr="00FB09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4F49F2" w:rsidRPr="00FB09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.2023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составил 0,0 тыс. рублей. В отчетном периоде бюджетные кредиты не привлекались.</w:t>
      </w:r>
    </w:p>
    <w:p w:rsidR="00CB7BD8" w:rsidRPr="00191F63" w:rsidRDefault="00CB7BD8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C2ECB" w:rsidRPr="00FB09D3" w:rsidRDefault="00641B1C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="006C2ECB" w:rsidRPr="00FB0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ы:</w:t>
      </w:r>
    </w:p>
    <w:p w:rsidR="006B5BBB" w:rsidRPr="00FB09D3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93A46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Отчё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об исполнении бюджета муниципального образования </w:t>
      </w:r>
      <w:r w:rsidR="00593A46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«Колпашевский район» </w:t>
      </w:r>
      <w:r w:rsidR="003D72E5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за 1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63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полугодие 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F49F2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представленном виде в целом соответствует нормам 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</w:t>
      </w:r>
      <w:r w:rsidR="00641B1C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законодательства. </w:t>
      </w:r>
    </w:p>
    <w:p w:rsidR="006B5BBB" w:rsidRPr="00FB09D3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соответствии с п.4. ст.264.1 </w:t>
      </w:r>
      <w:r w:rsidR="008B6CE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БК РФ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1F729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чёт об исполнении бюджета за 1 </w:t>
      </w:r>
      <w:r w:rsidR="008D53F4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="004F49F2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712F45" w:rsidRPr="00FB09D3" w:rsidRDefault="00712F45" w:rsidP="00712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sz w:val="24"/>
          <w:szCs w:val="24"/>
        </w:rPr>
        <w:t xml:space="preserve">3. Результатами анализа установлено, что исполнение бюджетных расходов на реализацию национальных проектов на отчетную дату составило 9 534,1 тыс.рублей </w:t>
      </w:r>
      <w:r w:rsidR="00191F63">
        <w:rPr>
          <w:rFonts w:ascii="Times New Roman" w:hAnsi="Times New Roman"/>
          <w:sz w:val="24"/>
          <w:szCs w:val="24"/>
        </w:rPr>
        <w:t xml:space="preserve">   </w:t>
      </w:r>
      <w:r w:rsidRPr="00FB09D3">
        <w:rPr>
          <w:rFonts w:ascii="Times New Roman" w:hAnsi="Times New Roman"/>
          <w:sz w:val="24"/>
          <w:szCs w:val="24"/>
        </w:rPr>
        <w:t>(</w:t>
      </w:r>
      <w:r w:rsidR="00FB09D3" w:rsidRPr="00FB09D3">
        <w:rPr>
          <w:rFonts w:ascii="Times New Roman" w:hAnsi="Times New Roman"/>
          <w:sz w:val="24"/>
          <w:szCs w:val="24"/>
        </w:rPr>
        <w:t>24,1</w:t>
      </w:r>
      <w:r w:rsidRPr="00FB09D3">
        <w:rPr>
          <w:rFonts w:ascii="Times New Roman" w:hAnsi="Times New Roman"/>
          <w:sz w:val="24"/>
          <w:szCs w:val="24"/>
        </w:rPr>
        <w:t xml:space="preserve"> % от утвержденных бюджетных ассигнований).</w:t>
      </w:r>
    </w:p>
    <w:p w:rsidR="006B5BBB" w:rsidRPr="00FB09D3" w:rsidRDefault="004F49F2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Основные параметры бюджета муниципального образования «Колпашевский район» за 1 </w:t>
      </w:r>
      <w:r w:rsidR="008D53F4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исполнены:</w:t>
      </w:r>
    </w:p>
    <w:p w:rsidR="006B5BBB" w:rsidRPr="00FB09D3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доходам -  </w:t>
      </w:r>
      <w:r w:rsidR="004F49F2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1 136 969,2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5BBB" w:rsidRPr="00FB09D3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B5BBB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расходам -  </w:t>
      </w:r>
      <w:r w:rsidR="004F49F2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1 108 498,4</w:t>
      </w:r>
      <w:r w:rsidR="00FB09D3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="00FB09D3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FB09D3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FB09D3" w:rsidRPr="00FB09D3" w:rsidRDefault="00FB09D3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профициту</w:t>
      </w:r>
      <w:proofErr w:type="spell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28 470,8 тыс</w:t>
      </w:r>
      <w:proofErr w:type="gramStart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3D72E5" w:rsidRPr="00FB09D3" w:rsidRDefault="004F49F2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01C5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2288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Счетная палата предлагает принять представленную информацию об исполнении бюджета </w:t>
      </w:r>
      <w:r w:rsidR="00456739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«Колпашевский район» </w:t>
      </w:r>
      <w:r w:rsidR="005A2288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8D53F4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5A2288" w:rsidRPr="00FB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к сведению. </w:t>
      </w:r>
    </w:p>
    <w:p w:rsidR="0001091C" w:rsidRPr="00FB09D3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1C5" w:rsidRPr="00FB09D3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514" w:rsidRPr="00FB09D3" w:rsidRDefault="00910348" w:rsidP="00E204C3">
      <w:pPr>
        <w:jc w:val="both"/>
        <w:rPr>
          <w:rFonts w:ascii="Times New Roman" w:hAnsi="Times New Roman" w:cs="Times New Roman"/>
          <w:sz w:val="24"/>
          <w:szCs w:val="24"/>
        </w:rPr>
      </w:pPr>
      <w:r w:rsidRPr="00FB09D3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="00FB09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09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677F" w:rsidRPr="00FB09D3">
        <w:rPr>
          <w:rFonts w:ascii="Times New Roman" w:hAnsi="Times New Roman" w:cs="Times New Roman"/>
          <w:sz w:val="24"/>
          <w:szCs w:val="24"/>
        </w:rPr>
        <w:t xml:space="preserve">     </w:t>
      </w:r>
      <w:r w:rsidRPr="00FB09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FB09D3">
        <w:rPr>
          <w:rFonts w:ascii="Times New Roman" w:hAnsi="Times New Roman" w:cs="Times New Roman"/>
          <w:sz w:val="24"/>
          <w:szCs w:val="24"/>
        </w:rPr>
        <w:t>М.Ю.Мурзина</w:t>
      </w:r>
      <w:proofErr w:type="spellEnd"/>
    </w:p>
    <w:p w:rsidR="00604514" w:rsidRPr="00FB09D3" w:rsidRDefault="00604514" w:rsidP="00604514">
      <w:pPr>
        <w:rPr>
          <w:rFonts w:ascii="Times New Roman" w:hAnsi="Times New Roman" w:cs="Times New Roman"/>
          <w:sz w:val="24"/>
          <w:szCs w:val="24"/>
        </w:rPr>
      </w:pPr>
    </w:p>
    <w:p w:rsidR="00910348" w:rsidRPr="00FB09D3" w:rsidRDefault="00910348" w:rsidP="00604514">
      <w:pPr>
        <w:rPr>
          <w:rFonts w:ascii="Times New Roman" w:hAnsi="Times New Roman" w:cs="Times New Roman"/>
          <w:sz w:val="24"/>
          <w:szCs w:val="24"/>
        </w:rPr>
      </w:pPr>
    </w:p>
    <w:sectPr w:rsidR="00910348" w:rsidRPr="00FB09D3" w:rsidSect="00010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BA" w:rsidRDefault="007C6CBA" w:rsidP="001C01EE">
      <w:pPr>
        <w:spacing w:after="0" w:line="240" w:lineRule="auto"/>
      </w:pPr>
      <w:r>
        <w:separator/>
      </w:r>
    </w:p>
  </w:endnote>
  <w:endnote w:type="continuationSeparator" w:id="0">
    <w:p w:rsidR="007C6CBA" w:rsidRDefault="007C6CBA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6D3D" w:rsidRPr="001C01EE" w:rsidRDefault="005A415E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4A6D3D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6131C0">
          <w:rPr>
            <w:rFonts w:ascii="Times New Roman" w:hAnsi="Times New Roman" w:cs="Times New Roman"/>
            <w:noProof/>
          </w:rPr>
          <w:t>4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:rsidR="004A6D3D" w:rsidRDefault="004A6D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BA" w:rsidRDefault="007C6CBA" w:rsidP="001C01EE">
      <w:pPr>
        <w:spacing w:after="0" w:line="240" w:lineRule="auto"/>
      </w:pPr>
      <w:r>
        <w:separator/>
      </w:r>
    </w:p>
  </w:footnote>
  <w:footnote w:type="continuationSeparator" w:id="0">
    <w:p w:rsidR="007C6CBA" w:rsidRDefault="007C6CBA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F3"/>
    <w:rsid w:val="0000072E"/>
    <w:rsid w:val="00002A50"/>
    <w:rsid w:val="000048D8"/>
    <w:rsid w:val="000057DF"/>
    <w:rsid w:val="0001091C"/>
    <w:rsid w:val="00010D37"/>
    <w:rsid w:val="00021C3E"/>
    <w:rsid w:val="00031960"/>
    <w:rsid w:val="00034103"/>
    <w:rsid w:val="00041A59"/>
    <w:rsid w:val="00063BBD"/>
    <w:rsid w:val="0007051C"/>
    <w:rsid w:val="000B02AD"/>
    <w:rsid w:val="000C27F9"/>
    <w:rsid w:val="000D70F1"/>
    <w:rsid w:val="000E563B"/>
    <w:rsid w:val="000F4AC7"/>
    <w:rsid w:val="00106261"/>
    <w:rsid w:val="00113F63"/>
    <w:rsid w:val="00114FCF"/>
    <w:rsid w:val="00131086"/>
    <w:rsid w:val="00145516"/>
    <w:rsid w:val="00146FA3"/>
    <w:rsid w:val="00162C4A"/>
    <w:rsid w:val="00163D3B"/>
    <w:rsid w:val="00164E6E"/>
    <w:rsid w:val="00181937"/>
    <w:rsid w:val="00191F63"/>
    <w:rsid w:val="00193372"/>
    <w:rsid w:val="00196C47"/>
    <w:rsid w:val="001C01EE"/>
    <w:rsid w:val="001C0F04"/>
    <w:rsid w:val="001D1C63"/>
    <w:rsid w:val="001F23AF"/>
    <w:rsid w:val="001F6F1D"/>
    <w:rsid w:val="001F729B"/>
    <w:rsid w:val="002011AC"/>
    <w:rsid w:val="00217D68"/>
    <w:rsid w:val="002206B8"/>
    <w:rsid w:val="00251C19"/>
    <w:rsid w:val="002566C2"/>
    <w:rsid w:val="002568D1"/>
    <w:rsid w:val="00276206"/>
    <w:rsid w:val="002A25E4"/>
    <w:rsid w:val="002A3F25"/>
    <w:rsid w:val="002A6260"/>
    <w:rsid w:val="002B4DEF"/>
    <w:rsid w:val="002C4DBC"/>
    <w:rsid w:val="002C4F28"/>
    <w:rsid w:val="002D01C5"/>
    <w:rsid w:val="002D3671"/>
    <w:rsid w:val="002D367F"/>
    <w:rsid w:val="002E5EC2"/>
    <w:rsid w:val="002F250C"/>
    <w:rsid w:val="0030695C"/>
    <w:rsid w:val="003171A2"/>
    <w:rsid w:val="003254DB"/>
    <w:rsid w:val="003343D4"/>
    <w:rsid w:val="00341245"/>
    <w:rsid w:val="00346C37"/>
    <w:rsid w:val="003502F2"/>
    <w:rsid w:val="00360BF5"/>
    <w:rsid w:val="00375A71"/>
    <w:rsid w:val="0038224D"/>
    <w:rsid w:val="003B69C5"/>
    <w:rsid w:val="003C363C"/>
    <w:rsid w:val="003C3EDF"/>
    <w:rsid w:val="003D41D2"/>
    <w:rsid w:val="003D72E5"/>
    <w:rsid w:val="003D79F8"/>
    <w:rsid w:val="003E1FAB"/>
    <w:rsid w:val="003E5C65"/>
    <w:rsid w:val="003F005C"/>
    <w:rsid w:val="003F37FF"/>
    <w:rsid w:val="003F5AA6"/>
    <w:rsid w:val="00401B27"/>
    <w:rsid w:val="00402FC8"/>
    <w:rsid w:val="004035DB"/>
    <w:rsid w:val="004174FC"/>
    <w:rsid w:val="0043385F"/>
    <w:rsid w:val="00444566"/>
    <w:rsid w:val="00455D27"/>
    <w:rsid w:val="00456739"/>
    <w:rsid w:val="00465D5F"/>
    <w:rsid w:val="00491FD1"/>
    <w:rsid w:val="00495162"/>
    <w:rsid w:val="004A34A7"/>
    <w:rsid w:val="004A414B"/>
    <w:rsid w:val="004A6D3D"/>
    <w:rsid w:val="004B34B0"/>
    <w:rsid w:val="004C19E1"/>
    <w:rsid w:val="004C2D20"/>
    <w:rsid w:val="004D30EA"/>
    <w:rsid w:val="004D5431"/>
    <w:rsid w:val="004F49F2"/>
    <w:rsid w:val="00544074"/>
    <w:rsid w:val="00566FFF"/>
    <w:rsid w:val="005748DE"/>
    <w:rsid w:val="00593A46"/>
    <w:rsid w:val="005953F3"/>
    <w:rsid w:val="00596C8B"/>
    <w:rsid w:val="005A1A42"/>
    <w:rsid w:val="005A2288"/>
    <w:rsid w:val="005A3D3D"/>
    <w:rsid w:val="005A415E"/>
    <w:rsid w:val="005B56B7"/>
    <w:rsid w:val="005B6F80"/>
    <w:rsid w:val="005E559C"/>
    <w:rsid w:val="005F5D61"/>
    <w:rsid w:val="00601C4B"/>
    <w:rsid w:val="00604514"/>
    <w:rsid w:val="00605D89"/>
    <w:rsid w:val="00610CED"/>
    <w:rsid w:val="006131C0"/>
    <w:rsid w:val="0061473E"/>
    <w:rsid w:val="00641B1C"/>
    <w:rsid w:val="00642918"/>
    <w:rsid w:val="00652490"/>
    <w:rsid w:val="006643BF"/>
    <w:rsid w:val="0067413C"/>
    <w:rsid w:val="0067504C"/>
    <w:rsid w:val="006802A6"/>
    <w:rsid w:val="006815EF"/>
    <w:rsid w:val="00686BF2"/>
    <w:rsid w:val="00695BC5"/>
    <w:rsid w:val="00695F6B"/>
    <w:rsid w:val="006962D6"/>
    <w:rsid w:val="006B5BBB"/>
    <w:rsid w:val="006C0394"/>
    <w:rsid w:val="006C0A8E"/>
    <w:rsid w:val="006C2ECB"/>
    <w:rsid w:val="006D53C5"/>
    <w:rsid w:val="006D6F60"/>
    <w:rsid w:val="006E0449"/>
    <w:rsid w:val="006E1F62"/>
    <w:rsid w:val="006E6240"/>
    <w:rsid w:val="00703488"/>
    <w:rsid w:val="00712F45"/>
    <w:rsid w:val="007474DD"/>
    <w:rsid w:val="00754542"/>
    <w:rsid w:val="0077361C"/>
    <w:rsid w:val="00776ECB"/>
    <w:rsid w:val="00793BD9"/>
    <w:rsid w:val="0079744A"/>
    <w:rsid w:val="007A01A1"/>
    <w:rsid w:val="007A4D67"/>
    <w:rsid w:val="007A5461"/>
    <w:rsid w:val="007A70DE"/>
    <w:rsid w:val="007B61A1"/>
    <w:rsid w:val="007B64F2"/>
    <w:rsid w:val="007C6CBA"/>
    <w:rsid w:val="007C75F1"/>
    <w:rsid w:val="007D7E50"/>
    <w:rsid w:val="007E2086"/>
    <w:rsid w:val="007F4EA5"/>
    <w:rsid w:val="00801421"/>
    <w:rsid w:val="00822EE8"/>
    <w:rsid w:val="008327C0"/>
    <w:rsid w:val="00842806"/>
    <w:rsid w:val="00862B86"/>
    <w:rsid w:val="00862F58"/>
    <w:rsid w:val="0089100C"/>
    <w:rsid w:val="008A5484"/>
    <w:rsid w:val="008B6CE9"/>
    <w:rsid w:val="008C6D74"/>
    <w:rsid w:val="008D1080"/>
    <w:rsid w:val="008D53F4"/>
    <w:rsid w:val="008D6B14"/>
    <w:rsid w:val="008E0F8D"/>
    <w:rsid w:val="008E6280"/>
    <w:rsid w:val="008F3682"/>
    <w:rsid w:val="008F5EBE"/>
    <w:rsid w:val="00910348"/>
    <w:rsid w:val="00917712"/>
    <w:rsid w:val="009322D2"/>
    <w:rsid w:val="00935E07"/>
    <w:rsid w:val="00941EF2"/>
    <w:rsid w:val="00943366"/>
    <w:rsid w:val="00963BD6"/>
    <w:rsid w:val="0097232B"/>
    <w:rsid w:val="009761CC"/>
    <w:rsid w:val="009B2CFE"/>
    <w:rsid w:val="009B7BD2"/>
    <w:rsid w:val="009C0DC2"/>
    <w:rsid w:val="009C3C4F"/>
    <w:rsid w:val="009C6D9C"/>
    <w:rsid w:val="009D07BE"/>
    <w:rsid w:val="009D35CD"/>
    <w:rsid w:val="009D5B80"/>
    <w:rsid w:val="009E3B99"/>
    <w:rsid w:val="009F31D6"/>
    <w:rsid w:val="00A10A29"/>
    <w:rsid w:val="00A3292D"/>
    <w:rsid w:val="00A50755"/>
    <w:rsid w:val="00A709EB"/>
    <w:rsid w:val="00A74DF3"/>
    <w:rsid w:val="00AB202F"/>
    <w:rsid w:val="00AC05F3"/>
    <w:rsid w:val="00AD0388"/>
    <w:rsid w:val="00AD0A63"/>
    <w:rsid w:val="00AF11FF"/>
    <w:rsid w:val="00B2260A"/>
    <w:rsid w:val="00B23B9F"/>
    <w:rsid w:val="00B33604"/>
    <w:rsid w:val="00B354A1"/>
    <w:rsid w:val="00B41237"/>
    <w:rsid w:val="00B41EA6"/>
    <w:rsid w:val="00B52437"/>
    <w:rsid w:val="00B631C8"/>
    <w:rsid w:val="00B71060"/>
    <w:rsid w:val="00B75714"/>
    <w:rsid w:val="00B75AB3"/>
    <w:rsid w:val="00B82545"/>
    <w:rsid w:val="00B84381"/>
    <w:rsid w:val="00BA697E"/>
    <w:rsid w:val="00BB2268"/>
    <w:rsid w:val="00BB73E7"/>
    <w:rsid w:val="00BC27F9"/>
    <w:rsid w:val="00BC7438"/>
    <w:rsid w:val="00BD180E"/>
    <w:rsid w:val="00BD6740"/>
    <w:rsid w:val="00BE1167"/>
    <w:rsid w:val="00C03656"/>
    <w:rsid w:val="00C06486"/>
    <w:rsid w:val="00C2477F"/>
    <w:rsid w:val="00C372F3"/>
    <w:rsid w:val="00C447FD"/>
    <w:rsid w:val="00C81DB5"/>
    <w:rsid w:val="00C9129E"/>
    <w:rsid w:val="00C9748B"/>
    <w:rsid w:val="00CA4F8A"/>
    <w:rsid w:val="00CA68BC"/>
    <w:rsid w:val="00CB34C9"/>
    <w:rsid w:val="00CB593E"/>
    <w:rsid w:val="00CB7BD8"/>
    <w:rsid w:val="00CC6209"/>
    <w:rsid w:val="00CD1FF8"/>
    <w:rsid w:val="00CD3C76"/>
    <w:rsid w:val="00CF08A1"/>
    <w:rsid w:val="00CF131C"/>
    <w:rsid w:val="00D067A2"/>
    <w:rsid w:val="00D07758"/>
    <w:rsid w:val="00D15ACC"/>
    <w:rsid w:val="00D20671"/>
    <w:rsid w:val="00D21C08"/>
    <w:rsid w:val="00D405A6"/>
    <w:rsid w:val="00D675DE"/>
    <w:rsid w:val="00D91F06"/>
    <w:rsid w:val="00D95AE4"/>
    <w:rsid w:val="00DA2AC1"/>
    <w:rsid w:val="00DA6D3C"/>
    <w:rsid w:val="00DB3CD1"/>
    <w:rsid w:val="00E12A86"/>
    <w:rsid w:val="00E179D9"/>
    <w:rsid w:val="00E204C3"/>
    <w:rsid w:val="00E47EC3"/>
    <w:rsid w:val="00E55652"/>
    <w:rsid w:val="00E5786D"/>
    <w:rsid w:val="00E64D69"/>
    <w:rsid w:val="00E65452"/>
    <w:rsid w:val="00E70D76"/>
    <w:rsid w:val="00EB36B5"/>
    <w:rsid w:val="00EC574F"/>
    <w:rsid w:val="00EC6085"/>
    <w:rsid w:val="00EC762B"/>
    <w:rsid w:val="00ED16C3"/>
    <w:rsid w:val="00ED79F2"/>
    <w:rsid w:val="00EE1B74"/>
    <w:rsid w:val="00EE6EA5"/>
    <w:rsid w:val="00F0011C"/>
    <w:rsid w:val="00F032A7"/>
    <w:rsid w:val="00F1409B"/>
    <w:rsid w:val="00F2326E"/>
    <w:rsid w:val="00F2572E"/>
    <w:rsid w:val="00F31A9F"/>
    <w:rsid w:val="00F3363C"/>
    <w:rsid w:val="00F6472C"/>
    <w:rsid w:val="00F74A73"/>
    <w:rsid w:val="00F90973"/>
    <w:rsid w:val="00F91460"/>
    <w:rsid w:val="00F9677F"/>
    <w:rsid w:val="00FB09D3"/>
    <w:rsid w:val="00FB5E04"/>
    <w:rsid w:val="00FC54E6"/>
    <w:rsid w:val="00FC60B9"/>
    <w:rsid w:val="00FE15FF"/>
    <w:rsid w:val="00F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</w:style>
  <w:style w:type="paragraph" w:styleId="2">
    <w:name w:val="heading 2"/>
    <w:basedOn w:val="a"/>
    <w:next w:val="a"/>
    <w:link w:val="20"/>
    <w:unhideWhenUsed/>
    <w:qFormat/>
    <w:rsid w:val="007F4E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  <w:style w:type="character" w:customStyle="1" w:styleId="20">
    <w:name w:val="Заголовок 2 Знак"/>
    <w:basedOn w:val="a0"/>
    <w:link w:val="2"/>
    <w:rsid w:val="007F4EA5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3BBBC-97DE-4A06-B0F3-EE7BD8A1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Palata2</cp:lastModifiedBy>
  <cp:revision>216</cp:revision>
  <cp:lastPrinted>2023-09-07T07:19:00Z</cp:lastPrinted>
  <dcterms:created xsi:type="dcterms:W3CDTF">2021-10-11T07:16:00Z</dcterms:created>
  <dcterms:modified xsi:type="dcterms:W3CDTF">2023-09-07T07:20:00Z</dcterms:modified>
</cp:coreProperties>
</file>