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0ED" w:rsidRPr="009E49B8" w:rsidRDefault="00FE6EBF" w:rsidP="00BB30ED">
      <w:pPr>
        <w:pStyle w:val="a3"/>
        <w:rPr>
          <w:rFonts w:ascii="Times New Roman" w:hAnsi="Times New Roman" w:cs="Times New Roman"/>
          <w:sz w:val="28"/>
          <w:szCs w:val="28"/>
        </w:rPr>
      </w:pPr>
      <w:r>
        <w:rPr>
          <w:rFonts w:ascii="Times New Roman" w:hAnsi="Times New Roman" w:cs="Times New Roman"/>
          <w:sz w:val="28"/>
          <w:szCs w:val="28"/>
        </w:rPr>
        <w:t>Из отчета</w:t>
      </w:r>
    </w:p>
    <w:p w:rsidR="00BB30ED" w:rsidRPr="009E49B8" w:rsidRDefault="00FE6EBF" w:rsidP="00BB30ED">
      <w:pPr>
        <w:jc w:val="center"/>
        <w:rPr>
          <w:b/>
          <w:bCs/>
          <w:sz w:val="28"/>
          <w:szCs w:val="28"/>
        </w:rPr>
      </w:pPr>
      <w:r>
        <w:rPr>
          <w:b/>
          <w:bCs/>
          <w:sz w:val="28"/>
          <w:szCs w:val="28"/>
        </w:rPr>
        <w:t>«О</w:t>
      </w:r>
      <w:r w:rsidR="00BB30ED" w:rsidRPr="009E49B8">
        <w:rPr>
          <w:b/>
          <w:bCs/>
          <w:sz w:val="28"/>
          <w:szCs w:val="28"/>
        </w:rPr>
        <w:t xml:space="preserve"> результатах контрольного мероприятия</w:t>
      </w:r>
    </w:p>
    <w:p w:rsidR="00BB30ED" w:rsidRPr="00842340" w:rsidRDefault="00BB30ED" w:rsidP="00BB30ED">
      <w:pPr>
        <w:jc w:val="center"/>
        <w:rPr>
          <w:b/>
          <w:sz w:val="28"/>
          <w:szCs w:val="28"/>
        </w:rPr>
      </w:pPr>
      <w:r w:rsidRPr="00842340">
        <w:rPr>
          <w:b/>
          <w:sz w:val="28"/>
          <w:szCs w:val="28"/>
        </w:rPr>
        <w:t>«Проверка полноты отражения доходов, получаемых от предпринимательской деятельности и эффективности использования вышеуказанных средств в муниципальном бюджетном учреждении «Центр культуры и досуга» в 2012 году»</w:t>
      </w:r>
      <w:r w:rsidR="00FE6EBF">
        <w:rPr>
          <w:b/>
          <w:sz w:val="28"/>
          <w:szCs w:val="28"/>
        </w:rPr>
        <w:t>, утвержденного председателем Счетной палаты Колпашевского района 22 июля 2013 года</w:t>
      </w:r>
    </w:p>
    <w:p w:rsidR="00F33C05" w:rsidRDefault="00F33C05"/>
    <w:p w:rsidR="00FE6EBF" w:rsidRDefault="00FE6EBF" w:rsidP="00BB30ED">
      <w:pPr>
        <w:pStyle w:val="a5"/>
        <w:ind w:firstLine="709"/>
        <w:rPr>
          <w:szCs w:val="28"/>
        </w:rPr>
      </w:pPr>
      <w:r>
        <w:rPr>
          <w:szCs w:val="28"/>
        </w:rPr>
        <w:t>Ответственный исполнитель мероприятия – инспектор Задоянова С.В., участники мероприятия инспекторы Мерзлякова О.В. и Крылова Н.Г.</w:t>
      </w:r>
    </w:p>
    <w:p w:rsidR="00FE6EBF" w:rsidRDefault="00FE6EBF" w:rsidP="00BB30ED">
      <w:pPr>
        <w:pStyle w:val="a5"/>
        <w:ind w:firstLine="709"/>
        <w:rPr>
          <w:szCs w:val="28"/>
        </w:rPr>
      </w:pPr>
    </w:p>
    <w:p w:rsidR="00BB30ED" w:rsidRPr="00842340" w:rsidRDefault="00BB30ED" w:rsidP="00BB30ED">
      <w:pPr>
        <w:pStyle w:val="a5"/>
        <w:ind w:firstLine="709"/>
        <w:rPr>
          <w:szCs w:val="28"/>
        </w:rPr>
      </w:pPr>
      <w:r w:rsidRPr="00842340">
        <w:rPr>
          <w:szCs w:val="28"/>
        </w:rPr>
        <w:t xml:space="preserve">Основание для проведения контрольного мероприятия: пункт </w:t>
      </w:r>
      <w:r>
        <w:rPr>
          <w:szCs w:val="28"/>
        </w:rPr>
        <w:t>5</w:t>
      </w:r>
      <w:r w:rsidRPr="00842340">
        <w:rPr>
          <w:szCs w:val="28"/>
        </w:rPr>
        <w:t xml:space="preserve"> раздела «Контрольные мероприятия» плана работы Счетной палаты Колпашевского района на 2013 год, утверждённого приказом Счетной палаты Колпашевского района от 29.12.2012 № 57 (в редакции приказов от 07.02.2013 № 4, от 29.03.2013 № 17</w:t>
      </w:r>
      <w:r>
        <w:rPr>
          <w:szCs w:val="28"/>
        </w:rPr>
        <w:t>, от 06.06.2013 № 23</w:t>
      </w:r>
      <w:r w:rsidRPr="00842340">
        <w:rPr>
          <w:szCs w:val="28"/>
        </w:rPr>
        <w:t xml:space="preserve">), </w:t>
      </w:r>
      <w:r w:rsidRPr="00842340">
        <w:rPr>
          <w:bCs/>
          <w:szCs w:val="28"/>
        </w:rPr>
        <w:t>соглашение о передаче контрольно-счетному органу муниципального образования «Колпашевский район» полномочий контрольно-счетного органа Колпашевского городского поселения по осуществлению внешнего муниципального финансового контроля от 14.09.2012 № 450.</w:t>
      </w:r>
    </w:p>
    <w:p w:rsidR="00FE6EBF" w:rsidRDefault="00FE6EBF" w:rsidP="00D75467">
      <w:pPr>
        <w:ind w:firstLine="709"/>
        <w:jc w:val="both"/>
        <w:rPr>
          <w:sz w:val="28"/>
          <w:szCs w:val="28"/>
        </w:rPr>
      </w:pPr>
    </w:p>
    <w:p w:rsidR="00D75467" w:rsidRPr="00842340" w:rsidRDefault="00D75467" w:rsidP="00D75467">
      <w:pPr>
        <w:ind w:firstLine="709"/>
        <w:jc w:val="both"/>
        <w:rPr>
          <w:sz w:val="28"/>
          <w:szCs w:val="28"/>
        </w:rPr>
      </w:pPr>
      <w:r w:rsidRPr="00842340">
        <w:rPr>
          <w:sz w:val="28"/>
          <w:szCs w:val="28"/>
        </w:rPr>
        <w:t>Проверяемый период: 2012 год</w:t>
      </w:r>
      <w:r>
        <w:rPr>
          <w:sz w:val="28"/>
          <w:szCs w:val="28"/>
        </w:rPr>
        <w:t>.</w:t>
      </w:r>
    </w:p>
    <w:p w:rsidR="00FE6EBF" w:rsidRDefault="00FE6EBF" w:rsidP="00BB30ED">
      <w:pPr>
        <w:ind w:firstLine="709"/>
        <w:jc w:val="both"/>
        <w:rPr>
          <w:sz w:val="28"/>
          <w:szCs w:val="28"/>
        </w:rPr>
      </w:pPr>
    </w:p>
    <w:p w:rsidR="00C81C45" w:rsidRPr="00F165FE" w:rsidRDefault="00C81C45" w:rsidP="00C81C45">
      <w:pPr>
        <w:ind w:firstLine="709"/>
        <w:jc w:val="both"/>
        <w:rPr>
          <w:sz w:val="28"/>
          <w:szCs w:val="28"/>
        </w:rPr>
      </w:pPr>
      <w:r w:rsidRPr="00F165FE">
        <w:rPr>
          <w:sz w:val="28"/>
          <w:szCs w:val="28"/>
        </w:rPr>
        <w:t xml:space="preserve">По результатам контрольного мероприятия установлены </w:t>
      </w:r>
      <w:r>
        <w:rPr>
          <w:sz w:val="28"/>
          <w:szCs w:val="28"/>
        </w:rPr>
        <w:t>следующие</w:t>
      </w:r>
      <w:r w:rsidRPr="00F165FE">
        <w:rPr>
          <w:sz w:val="28"/>
          <w:szCs w:val="28"/>
        </w:rPr>
        <w:t xml:space="preserve"> нарушения</w:t>
      </w:r>
      <w:r w:rsidR="00FE6EBF">
        <w:rPr>
          <w:sz w:val="28"/>
          <w:szCs w:val="28"/>
        </w:rPr>
        <w:t xml:space="preserve"> и недостатки</w:t>
      </w:r>
      <w:r>
        <w:rPr>
          <w:sz w:val="28"/>
          <w:szCs w:val="28"/>
        </w:rPr>
        <w:t>:</w:t>
      </w:r>
    </w:p>
    <w:p w:rsidR="00FE6EBF" w:rsidRPr="00FE6EBF" w:rsidRDefault="00FE6EBF" w:rsidP="00FE6EBF">
      <w:pPr>
        <w:pStyle w:val="aa"/>
        <w:spacing w:after="0" w:line="240" w:lineRule="auto"/>
        <w:ind w:left="0" w:firstLine="709"/>
        <w:jc w:val="both"/>
        <w:rPr>
          <w:rFonts w:ascii="Times New Roman" w:hAnsi="Times New Roman"/>
          <w:sz w:val="28"/>
          <w:szCs w:val="28"/>
        </w:rPr>
      </w:pPr>
      <w:r w:rsidRPr="00FE6EBF">
        <w:rPr>
          <w:rFonts w:ascii="Times New Roman" w:hAnsi="Times New Roman"/>
          <w:sz w:val="28"/>
          <w:szCs w:val="28"/>
        </w:rPr>
        <w:t>1. Неэффективное использование средств от приносящей доход деятельности в сумме 49 019,41 рублей, в том числе:</w:t>
      </w:r>
    </w:p>
    <w:p w:rsidR="00FE6EBF" w:rsidRPr="00FE6EBF" w:rsidRDefault="00FE6EBF" w:rsidP="00FE6EBF">
      <w:pPr>
        <w:pStyle w:val="aa"/>
        <w:numPr>
          <w:ilvl w:val="0"/>
          <w:numId w:val="5"/>
        </w:numPr>
        <w:tabs>
          <w:tab w:val="left" w:pos="1134"/>
        </w:tabs>
        <w:spacing w:after="0" w:line="240" w:lineRule="auto"/>
        <w:ind w:left="0" w:firstLine="709"/>
        <w:jc w:val="both"/>
        <w:rPr>
          <w:rFonts w:ascii="Times New Roman" w:hAnsi="Times New Roman"/>
          <w:sz w:val="28"/>
          <w:szCs w:val="28"/>
        </w:rPr>
      </w:pPr>
      <w:r w:rsidRPr="00FE6EBF">
        <w:rPr>
          <w:rFonts w:ascii="Times New Roman" w:hAnsi="Times New Roman"/>
          <w:sz w:val="28"/>
          <w:szCs w:val="28"/>
        </w:rPr>
        <w:t xml:space="preserve">Расходы по подстатье 290 «Прочие расходы» в сумме 46 215,11 рублей, из них: </w:t>
      </w:r>
    </w:p>
    <w:p w:rsidR="00FE6EBF" w:rsidRPr="00FE6EBF" w:rsidRDefault="00FE6EBF" w:rsidP="00FE6EBF">
      <w:pPr>
        <w:pStyle w:val="aa"/>
        <w:spacing w:after="0" w:line="240" w:lineRule="auto"/>
        <w:ind w:left="0" w:firstLine="709"/>
        <w:jc w:val="both"/>
        <w:rPr>
          <w:rFonts w:ascii="Times New Roman" w:hAnsi="Times New Roman"/>
          <w:sz w:val="28"/>
          <w:szCs w:val="28"/>
        </w:rPr>
      </w:pPr>
      <w:r w:rsidRPr="00FE6EBF">
        <w:rPr>
          <w:rFonts w:ascii="Times New Roman" w:hAnsi="Times New Roman"/>
          <w:sz w:val="28"/>
          <w:szCs w:val="28"/>
        </w:rPr>
        <w:t>- в сумме 41 015,00 рублей направлены на приобретение продуктов питания на проведение праздника «День культурного работника». Данные расходы не предусмотрены Положением о распределении средств от предпринимательской и иной приносящей доход деятельности МУ «ЦКД» (принято на общем собрании трудового коллектива и утверждено директором МУ «ЦКД» Пановой И.В. 29.01.2010 г. и согласовано начальником отдела по вопросам культуры, молодежной политики и спорта Администрации Колпашевского городского поселения Терехиной Л.С.) и их направление не соответствует уставным целям МБУ «ЦКД»;</w:t>
      </w:r>
    </w:p>
    <w:p w:rsidR="00FE6EBF" w:rsidRPr="00FE6EBF" w:rsidRDefault="00FE6EBF" w:rsidP="00FE6EBF">
      <w:pPr>
        <w:pStyle w:val="aa"/>
        <w:spacing w:after="0" w:line="240" w:lineRule="auto"/>
        <w:ind w:left="0" w:firstLine="709"/>
        <w:jc w:val="both"/>
        <w:rPr>
          <w:rFonts w:ascii="Times New Roman" w:hAnsi="Times New Roman"/>
          <w:sz w:val="28"/>
          <w:szCs w:val="28"/>
        </w:rPr>
      </w:pPr>
      <w:r w:rsidRPr="00FE6EBF">
        <w:rPr>
          <w:rFonts w:ascii="Times New Roman" w:hAnsi="Times New Roman"/>
          <w:sz w:val="28"/>
          <w:szCs w:val="28"/>
        </w:rPr>
        <w:t>- в сумме 5 200,11 рублей на приобретение продуктов на организацию 27.04.2012 г. и 28.04.2012 г. питания областного жюри конкурса «Томская мозаика»</w:t>
      </w:r>
      <w:r>
        <w:rPr>
          <w:rFonts w:ascii="Times New Roman" w:hAnsi="Times New Roman"/>
          <w:sz w:val="28"/>
          <w:szCs w:val="28"/>
        </w:rPr>
        <w:t>.</w:t>
      </w:r>
    </w:p>
    <w:p w:rsidR="00FE6EBF" w:rsidRPr="00FE6EBF" w:rsidRDefault="00FE6EBF" w:rsidP="00FE6EBF">
      <w:pPr>
        <w:pStyle w:val="aa"/>
        <w:numPr>
          <w:ilvl w:val="0"/>
          <w:numId w:val="5"/>
        </w:numPr>
        <w:tabs>
          <w:tab w:val="left" w:pos="993"/>
        </w:tabs>
        <w:spacing w:after="0" w:line="240" w:lineRule="auto"/>
        <w:ind w:left="0" w:firstLine="709"/>
        <w:jc w:val="both"/>
        <w:rPr>
          <w:rFonts w:ascii="Times New Roman" w:hAnsi="Times New Roman"/>
          <w:sz w:val="28"/>
          <w:szCs w:val="28"/>
        </w:rPr>
      </w:pPr>
      <w:r w:rsidRPr="00FE6EBF">
        <w:rPr>
          <w:rFonts w:ascii="Times New Roman" w:hAnsi="Times New Roman"/>
          <w:sz w:val="28"/>
          <w:szCs w:val="28"/>
        </w:rPr>
        <w:t xml:space="preserve">Расходы по статье 340 «Увеличение стоимости материальных запасов» в сумме 2 804,30 рублей: приобретены и списаны хозяйственные принадлежности </w:t>
      </w:r>
      <w:r>
        <w:rPr>
          <w:rFonts w:ascii="Times New Roman" w:hAnsi="Times New Roman"/>
          <w:sz w:val="28"/>
          <w:szCs w:val="28"/>
        </w:rPr>
        <w:t xml:space="preserve">и бытовая химия </w:t>
      </w:r>
      <w:r w:rsidRPr="00FE6EBF">
        <w:rPr>
          <w:rFonts w:ascii="Times New Roman" w:hAnsi="Times New Roman"/>
          <w:sz w:val="28"/>
          <w:szCs w:val="28"/>
        </w:rPr>
        <w:t>на проведение праздника «День защиты детей</w:t>
      </w:r>
      <w:r w:rsidRPr="00FE6EBF">
        <w:rPr>
          <w:rFonts w:ascii="Times New Roman" w:hAnsi="Times New Roman"/>
          <w:b/>
          <w:sz w:val="28"/>
          <w:szCs w:val="28"/>
        </w:rPr>
        <w:t>»</w:t>
      </w:r>
      <w:r w:rsidRPr="00FE6EBF">
        <w:rPr>
          <w:rFonts w:ascii="Times New Roman" w:hAnsi="Times New Roman"/>
          <w:sz w:val="28"/>
          <w:szCs w:val="28"/>
        </w:rPr>
        <w:t>.</w:t>
      </w:r>
    </w:p>
    <w:p w:rsidR="00FE6EBF" w:rsidRPr="00FE6EBF" w:rsidRDefault="00FE6EBF" w:rsidP="00FE6EBF">
      <w:pPr>
        <w:pStyle w:val="aa"/>
        <w:spacing w:after="0" w:line="240" w:lineRule="auto"/>
        <w:ind w:left="0" w:firstLine="709"/>
        <w:jc w:val="both"/>
        <w:rPr>
          <w:rFonts w:ascii="Times New Roman" w:hAnsi="Times New Roman"/>
          <w:sz w:val="28"/>
          <w:szCs w:val="28"/>
        </w:rPr>
      </w:pPr>
      <w:r w:rsidRPr="00FE6EBF">
        <w:rPr>
          <w:rFonts w:ascii="Times New Roman" w:hAnsi="Times New Roman"/>
          <w:sz w:val="28"/>
          <w:szCs w:val="28"/>
        </w:rPr>
        <w:lastRenderedPageBreak/>
        <w:t>2. Прочие финансовые нарушения, допущенные за счет средств от приносящей доход деятельности в сумме 174 522,43 рублей:</w:t>
      </w:r>
    </w:p>
    <w:p w:rsidR="00FE6EBF" w:rsidRPr="00FE6EBF" w:rsidRDefault="00FE6EBF" w:rsidP="00FE6EBF">
      <w:pPr>
        <w:pStyle w:val="aa"/>
        <w:numPr>
          <w:ilvl w:val="0"/>
          <w:numId w:val="5"/>
        </w:numPr>
        <w:tabs>
          <w:tab w:val="left" w:pos="993"/>
        </w:tabs>
        <w:spacing w:after="0" w:line="240" w:lineRule="auto"/>
        <w:ind w:left="0" w:firstLine="709"/>
        <w:jc w:val="both"/>
        <w:rPr>
          <w:rFonts w:ascii="Times New Roman" w:hAnsi="Times New Roman"/>
          <w:sz w:val="28"/>
          <w:szCs w:val="28"/>
        </w:rPr>
      </w:pPr>
      <w:r w:rsidRPr="00FE6EBF">
        <w:rPr>
          <w:rFonts w:ascii="Times New Roman" w:hAnsi="Times New Roman"/>
          <w:sz w:val="28"/>
          <w:szCs w:val="28"/>
        </w:rPr>
        <w:t xml:space="preserve">Нарушение пункта 3 статьи 1 Федерального закона от 21.11.1996 </w:t>
      </w:r>
      <w:r>
        <w:rPr>
          <w:rFonts w:ascii="Times New Roman" w:hAnsi="Times New Roman"/>
          <w:sz w:val="28"/>
          <w:szCs w:val="28"/>
        </w:rPr>
        <w:t xml:space="preserve">      </w:t>
      </w:r>
      <w:r w:rsidRPr="00FE6EBF">
        <w:rPr>
          <w:rFonts w:ascii="Times New Roman" w:hAnsi="Times New Roman"/>
          <w:sz w:val="28"/>
          <w:szCs w:val="28"/>
        </w:rPr>
        <w:t xml:space="preserve">№ 129-ФЗ «О бухгалтерском учете» (далее по тексту - Федеральный закон </w:t>
      </w:r>
      <w:r>
        <w:rPr>
          <w:rFonts w:ascii="Times New Roman" w:hAnsi="Times New Roman"/>
          <w:sz w:val="28"/>
          <w:szCs w:val="28"/>
        </w:rPr>
        <w:t xml:space="preserve">    </w:t>
      </w:r>
      <w:r w:rsidRPr="00FE6EBF">
        <w:rPr>
          <w:rFonts w:ascii="Times New Roman" w:hAnsi="Times New Roman"/>
          <w:sz w:val="28"/>
          <w:szCs w:val="28"/>
        </w:rPr>
        <w:t>№ 129-ФЗ), в части формирования полной и достоверной информации о деятельности учреждения в сумме 29 424,01 рублей, в том числе:</w:t>
      </w:r>
    </w:p>
    <w:p w:rsidR="00FE6EBF" w:rsidRPr="00FE6EBF" w:rsidRDefault="00FE6EBF" w:rsidP="00FE6EBF">
      <w:pPr>
        <w:pStyle w:val="aa"/>
        <w:spacing w:after="0" w:line="240" w:lineRule="auto"/>
        <w:ind w:left="0" w:firstLine="709"/>
        <w:jc w:val="both"/>
        <w:rPr>
          <w:rFonts w:ascii="Times New Roman" w:hAnsi="Times New Roman"/>
          <w:sz w:val="28"/>
          <w:szCs w:val="28"/>
        </w:rPr>
      </w:pPr>
      <w:r w:rsidRPr="00FE6EBF">
        <w:rPr>
          <w:rFonts w:ascii="Times New Roman" w:hAnsi="Times New Roman"/>
          <w:sz w:val="28"/>
          <w:szCs w:val="28"/>
        </w:rPr>
        <w:t xml:space="preserve">- отражалась задолженность в авансовых отчетах подотчетных лиц при отсутствии этой задолженности по данным бухгалтерского учета Учреждения по расчетам с подотчетными лицами </w:t>
      </w:r>
      <w:r>
        <w:rPr>
          <w:rFonts w:ascii="Times New Roman" w:hAnsi="Times New Roman"/>
          <w:sz w:val="28"/>
          <w:szCs w:val="28"/>
        </w:rPr>
        <w:t>на сумму 28 559,01 рублей;</w:t>
      </w:r>
    </w:p>
    <w:p w:rsidR="00FE6EBF" w:rsidRPr="00FE6EBF" w:rsidRDefault="00FE6EBF" w:rsidP="00FE6EBF">
      <w:pPr>
        <w:autoSpaceDE w:val="0"/>
        <w:autoSpaceDN w:val="0"/>
        <w:adjustRightInd w:val="0"/>
        <w:ind w:firstLine="709"/>
        <w:jc w:val="both"/>
        <w:outlineLvl w:val="0"/>
        <w:rPr>
          <w:sz w:val="28"/>
          <w:szCs w:val="28"/>
        </w:rPr>
      </w:pPr>
      <w:r w:rsidRPr="00FE6EBF">
        <w:rPr>
          <w:sz w:val="28"/>
          <w:szCs w:val="28"/>
        </w:rPr>
        <w:t>- завышены обороты по счету 105.31 «Медикаменты и перевязочные средства» и занижены обороты по счету 105.36 «Прочие материальные запасы» на сумму 865,00 рублей, в результате оприходования запасных частей на счет бухгалтерского учета 105.31«Медикаменты и перевязочные средства» в сумме 865,00 рублей (также нарушен пункт 117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по тексту – Инструкция № 157н)).</w:t>
      </w:r>
    </w:p>
    <w:p w:rsidR="00FE6EBF" w:rsidRPr="00FE6EBF" w:rsidRDefault="00FE6EBF" w:rsidP="00FE6EBF">
      <w:pPr>
        <w:pStyle w:val="aa"/>
        <w:numPr>
          <w:ilvl w:val="0"/>
          <w:numId w:val="5"/>
        </w:numPr>
        <w:tabs>
          <w:tab w:val="left" w:pos="993"/>
        </w:tabs>
        <w:spacing w:after="0" w:line="240" w:lineRule="auto"/>
        <w:ind w:left="0" w:firstLine="709"/>
        <w:jc w:val="both"/>
        <w:rPr>
          <w:rFonts w:ascii="Times New Roman" w:hAnsi="Times New Roman"/>
          <w:sz w:val="28"/>
          <w:szCs w:val="28"/>
        </w:rPr>
      </w:pPr>
      <w:r w:rsidRPr="00FE6EBF">
        <w:rPr>
          <w:rFonts w:ascii="Times New Roman" w:hAnsi="Times New Roman"/>
          <w:sz w:val="28"/>
          <w:szCs w:val="28"/>
        </w:rPr>
        <w:t>Нарушение пункта 5 статьи 8 Федерального закона № 129-ФЗ, в части несвоевременного отражения первичных учетных документов в регистрах бухгалтерского учета Учреждения на сумму 96 573,42 рубля.</w:t>
      </w:r>
    </w:p>
    <w:p w:rsidR="00FE6EBF" w:rsidRPr="00FE6EBF" w:rsidRDefault="00FE6EBF" w:rsidP="00FE6EBF">
      <w:pPr>
        <w:numPr>
          <w:ilvl w:val="0"/>
          <w:numId w:val="5"/>
        </w:numPr>
        <w:tabs>
          <w:tab w:val="left" w:pos="993"/>
        </w:tabs>
        <w:ind w:left="0" w:firstLine="709"/>
        <w:jc w:val="both"/>
        <w:rPr>
          <w:sz w:val="28"/>
          <w:szCs w:val="28"/>
        </w:rPr>
      </w:pPr>
      <w:r w:rsidRPr="00FE6EBF">
        <w:rPr>
          <w:sz w:val="28"/>
          <w:szCs w:val="28"/>
        </w:rPr>
        <w:t>К бухгалтерскому учету 2012 года приняты от подотчетных лиц документы, подтверждающие их расходы, произведенные в 2011 году на сумму 510,00 рублей.</w:t>
      </w:r>
    </w:p>
    <w:p w:rsidR="00FE6EBF" w:rsidRPr="00FE6EBF" w:rsidRDefault="00FE6EBF" w:rsidP="00FE6EBF">
      <w:pPr>
        <w:numPr>
          <w:ilvl w:val="0"/>
          <w:numId w:val="5"/>
        </w:numPr>
        <w:tabs>
          <w:tab w:val="left" w:pos="993"/>
        </w:tabs>
        <w:ind w:left="0" w:firstLine="709"/>
        <w:jc w:val="both"/>
        <w:rPr>
          <w:bCs/>
          <w:sz w:val="28"/>
          <w:szCs w:val="28"/>
        </w:rPr>
      </w:pPr>
      <w:r w:rsidRPr="00FE6EBF">
        <w:rPr>
          <w:sz w:val="28"/>
          <w:szCs w:val="28"/>
        </w:rPr>
        <w:t>В нарушение пункта 46 Инструкции № 157н на объектах основных средств, приобретенных 02.02.2012 года (монитор, акустическая система двухполосная, крассовер пас. 600</w:t>
      </w:r>
      <w:r w:rsidRPr="00FE6EBF">
        <w:rPr>
          <w:sz w:val="28"/>
          <w:szCs w:val="28"/>
          <w:lang w:val="en-US"/>
        </w:rPr>
        <w:t>W</w:t>
      </w:r>
      <w:r w:rsidRPr="00FE6EBF">
        <w:rPr>
          <w:sz w:val="28"/>
          <w:szCs w:val="28"/>
        </w:rPr>
        <w:t xml:space="preserve"> в количестве 2 штук на общую сумму </w:t>
      </w:r>
      <w:r>
        <w:rPr>
          <w:sz w:val="28"/>
          <w:szCs w:val="28"/>
        </w:rPr>
        <w:t xml:space="preserve">     </w:t>
      </w:r>
      <w:r w:rsidRPr="00FE6EBF">
        <w:rPr>
          <w:sz w:val="28"/>
          <w:szCs w:val="28"/>
        </w:rPr>
        <w:t>48 015,00 рублей), не обозначены присвоенные им инвентарные номера.</w:t>
      </w:r>
      <w:r w:rsidRPr="00FE6EBF">
        <w:rPr>
          <w:bCs/>
          <w:sz w:val="28"/>
          <w:szCs w:val="28"/>
        </w:rPr>
        <w:t xml:space="preserve"> Таким образом, в МБУ «ЦКД» не обеспечивается должным образом сохранность основных средств.</w:t>
      </w:r>
    </w:p>
    <w:p w:rsidR="00FE6EBF" w:rsidRPr="00FE6EBF" w:rsidRDefault="00FE6EBF" w:rsidP="00FE6EBF">
      <w:pPr>
        <w:pStyle w:val="aa"/>
        <w:spacing w:after="0" w:line="240" w:lineRule="auto"/>
        <w:ind w:left="0" w:firstLine="709"/>
        <w:jc w:val="both"/>
        <w:rPr>
          <w:rFonts w:ascii="Times New Roman" w:hAnsi="Times New Roman"/>
          <w:sz w:val="28"/>
          <w:szCs w:val="28"/>
        </w:rPr>
      </w:pPr>
      <w:r w:rsidRPr="00FE6EBF">
        <w:rPr>
          <w:rFonts w:ascii="Times New Roman" w:hAnsi="Times New Roman"/>
          <w:sz w:val="28"/>
          <w:szCs w:val="28"/>
        </w:rPr>
        <w:t>3. Прочие нарушения методологии ведения бухгалтерского учета и порядка оформления регистров учета и первичных учетных документов:</w:t>
      </w:r>
    </w:p>
    <w:p w:rsidR="00FE6EBF" w:rsidRPr="00FE6EBF" w:rsidRDefault="00FE6EBF" w:rsidP="00FE6EBF">
      <w:pPr>
        <w:pStyle w:val="aa"/>
        <w:numPr>
          <w:ilvl w:val="0"/>
          <w:numId w:val="6"/>
        </w:numPr>
        <w:tabs>
          <w:tab w:val="left" w:pos="993"/>
        </w:tabs>
        <w:spacing w:after="0" w:line="240" w:lineRule="auto"/>
        <w:ind w:left="0" w:firstLine="709"/>
        <w:jc w:val="both"/>
        <w:rPr>
          <w:rFonts w:ascii="Times New Roman" w:hAnsi="Times New Roman"/>
          <w:sz w:val="28"/>
          <w:szCs w:val="28"/>
        </w:rPr>
      </w:pPr>
      <w:r w:rsidRPr="00FE6EBF">
        <w:rPr>
          <w:rFonts w:ascii="Times New Roman" w:hAnsi="Times New Roman"/>
          <w:sz w:val="28"/>
          <w:szCs w:val="28"/>
        </w:rPr>
        <w:t>в нарушение пунктов 134 – 140 Инструкции № 157н, пунктов 58-67 Инструкции по применению плана счетов бухгалтерского учета бюджетных учреждений, утвержденной приказом Минфина России от 16.12.2010 № 174н для формирования в денежном выражении информации о затратах на выполнение услуг и хозяйственных операций, осуществляемых с ними, не применялся счет бухгалтерского учета 10900000 «Затраты на изготовление готовой продукции, выполнение работ, услуг»;</w:t>
      </w:r>
    </w:p>
    <w:p w:rsidR="00FE6EBF" w:rsidRPr="00FE6EBF" w:rsidRDefault="00FE6EBF" w:rsidP="00FE6EBF">
      <w:pPr>
        <w:pStyle w:val="aa"/>
        <w:numPr>
          <w:ilvl w:val="0"/>
          <w:numId w:val="6"/>
        </w:numPr>
        <w:tabs>
          <w:tab w:val="left" w:pos="993"/>
        </w:tabs>
        <w:spacing w:after="0" w:line="240" w:lineRule="auto"/>
        <w:ind w:left="0" w:firstLine="709"/>
        <w:jc w:val="both"/>
        <w:rPr>
          <w:rFonts w:ascii="Times New Roman" w:hAnsi="Times New Roman"/>
          <w:sz w:val="28"/>
          <w:szCs w:val="28"/>
        </w:rPr>
      </w:pPr>
      <w:r w:rsidRPr="00FE6EBF">
        <w:rPr>
          <w:rFonts w:ascii="Times New Roman" w:hAnsi="Times New Roman"/>
          <w:sz w:val="28"/>
          <w:szCs w:val="28"/>
        </w:rPr>
        <w:t xml:space="preserve">в нарушение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w:t>
      </w:r>
      <w:r w:rsidRPr="00FE6EBF">
        <w:rPr>
          <w:rFonts w:ascii="Times New Roman" w:hAnsi="Times New Roman"/>
          <w:sz w:val="28"/>
          <w:szCs w:val="28"/>
        </w:rPr>
        <w:lastRenderedPageBreak/>
        <w:t>фондами, государственных академий наук, государственных (муниципальных) учреждений, утвержденного приказом Минфина РФ от 01.12.2010 № 157н в приходных кассовых ордерах, оформленных на прием наличных денег в виде спонсорской помощи в 1 квартале 2012 года по кредиту корреспондирующего счета отражен счет 205.31 «Расчеты по доходам от оказания платных работ, услуг»;</w:t>
      </w:r>
    </w:p>
    <w:p w:rsidR="00FE6EBF" w:rsidRPr="00FE6EBF" w:rsidRDefault="00FE6EBF" w:rsidP="00FE6EBF">
      <w:pPr>
        <w:pStyle w:val="aa"/>
        <w:numPr>
          <w:ilvl w:val="0"/>
          <w:numId w:val="6"/>
        </w:numPr>
        <w:tabs>
          <w:tab w:val="left" w:pos="993"/>
        </w:tabs>
        <w:spacing w:after="0" w:line="240" w:lineRule="auto"/>
        <w:ind w:left="0" w:firstLine="709"/>
        <w:jc w:val="both"/>
        <w:rPr>
          <w:rFonts w:ascii="Times New Roman" w:hAnsi="Times New Roman"/>
          <w:sz w:val="28"/>
          <w:szCs w:val="28"/>
        </w:rPr>
      </w:pPr>
      <w:r w:rsidRPr="00FE6EBF">
        <w:rPr>
          <w:rFonts w:ascii="Times New Roman" w:hAnsi="Times New Roman"/>
          <w:sz w:val="28"/>
          <w:szCs w:val="28"/>
        </w:rPr>
        <w:t>в нарушение пункта 337 Инструкции № 157н в бухгалтерском учете учреждения не осуществлялся учет билетов на забалансовом счете 03 «Бланки строгой отчетности»;</w:t>
      </w:r>
    </w:p>
    <w:p w:rsidR="00FE6EBF" w:rsidRPr="00FE6EBF" w:rsidRDefault="00FE6EBF" w:rsidP="00FE6EBF">
      <w:pPr>
        <w:pStyle w:val="aa"/>
        <w:numPr>
          <w:ilvl w:val="0"/>
          <w:numId w:val="6"/>
        </w:numPr>
        <w:tabs>
          <w:tab w:val="left" w:pos="993"/>
        </w:tabs>
        <w:spacing w:after="0" w:line="240" w:lineRule="auto"/>
        <w:ind w:left="0" w:firstLine="709"/>
        <w:jc w:val="both"/>
        <w:rPr>
          <w:rFonts w:ascii="Times New Roman" w:hAnsi="Times New Roman"/>
          <w:sz w:val="28"/>
          <w:szCs w:val="28"/>
        </w:rPr>
      </w:pPr>
      <w:r w:rsidRPr="00FE6EBF">
        <w:rPr>
          <w:rFonts w:ascii="Times New Roman" w:hAnsi="Times New Roman"/>
          <w:sz w:val="28"/>
          <w:szCs w:val="28"/>
        </w:rPr>
        <w:t>в нарушение приложения 5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приказа Минфина России № 173н в проверяемом периоде в авансовых отчетах формы 0504049 не заполнялись «Сведения о внесении остатка, выдаче перерасхода»;</w:t>
      </w:r>
    </w:p>
    <w:p w:rsidR="00FE6EBF" w:rsidRPr="00FE6EBF" w:rsidRDefault="00FE6EBF" w:rsidP="00FE6EBF">
      <w:pPr>
        <w:pStyle w:val="aa"/>
        <w:numPr>
          <w:ilvl w:val="0"/>
          <w:numId w:val="6"/>
        </w:numPr>
        <w:tabs>
          <w:tab w:val="left" w:pos="993"/>
        </w:tabs>
        <w:spacing w:after="0" w:line="240" w:lineRule="auto"/>
        <w:ind w:left="0" w:firstLine="709"/>
        <w:jc w:val="both"/>
        <w:rPr>
          <w:rFonts w:ascii="Times New Roman" w:hAnsi="Times New Roman"/>
          <w:sz w:val="28"/>
          <w:szCs w:val="28"/>
        </w:rPr>
      </w:pPr>
      <w:r w:rsidRPr="00FE6EBF">
        <w:rPr>
          <w:rFonts w:ascii="Times New Roman" w:hAnsi="Times New Roman"/>
          <w:sz w:val="28"/>
          <w:szCs w:val="28"/>
        </w:rPr>
        <w:t>в нарушение пункта 4.4 главы 4 Положения Банка России от 12.10.2011 № 373-П «О порядке ведения кассовых операций с банкнотами и монетой Банка России на территории Российской Федерации» при выдачи наличных денег на расходы, связанные с осуществлением деятельности учреждения, работнику под отчет расходный кассовый ордер оформляется согласно письменному заявлению подотчетного лица, составленному в произвольной форме, в котором не отражена собственноручная надпись руководителя о сумме наличных денег и о сроке, на который выдаются наличные деньги, а также дата.</w:t>
      </w:r>
    </w:p>
    <w:p w:rsidR="00FE6EBF" w:rsidRPr="00FE6EBF" w:rsidRDefault="00FE6EBF" w:rsidP="00FE6EBF">
      <w:pPr>
        <w:pStyle w:val="a7"/>
        <w:spacing w:after="0" w:line="240" w:lineRule="auto"/>
        <w:ind w:left="0" w:firstLine="709"/>
        <w:jc w:val="both"/>
        <w:rPr>
          <w:rFonts w:ascii="Times New Roman" w:hAnsi="Times New Roman"/>
          <w:sz w:val="28"/>
          <w:szCs w:val="28"/>
        </w:rPr>
      </w:pPr>
      <w:r w:rsidRPr="00FE6EBF">
        <w:rPr>
          <w:rFonts w:ascii="Times New Roman" w:hAnsi="Times New Roman"/>
          <w:sz w:val="28"/>
          <w:szCs w:val="28"/>
        </w:rPr>
        <w:t>4. Некоторые Положения Устава МБУ «ЦКД» не соответствуют действующему законодательству Российской Федерации, а именно:</w:t>
      </w:r>
    </w:p>
    <w:p w:rsidR="00FE6EBF" w:rsidRPr="00FE6EBF" w:rsidRDefault="00FE6EBF" w:rsidP="00FE6EBF">
      <w:pPr>
        <w:ind w:firstLine="709"/>
        <w:jc w:val="both"/>
        <w:rPr>
          <w:sz w:val="28"/>
          <w:szCs w:val="28"/>
        </w:rPr>
      </w:pPr>
      <w:r w:rsidRPr="00FE6EBF">
        <w:rPr>
          <w:sz w:val="28"/>
          <w:szCs w:val="28"/>
        </w:rPr>
        <w:t>- в пункте 45 Устава отражено, что финансово-хозяйственная деятельность учреждения осуществляется в соответствии с утвержденной сметой расходов, что противоречит Бюджетному кодеку РФ;</w:t>
      </w:r>
    </w:p>
    <w:p w:rsidR="00FE6EBF" w:rsidRPr="00FE6EBF" w:rsidRDefault="00FE6EBF" w:rsidP="00FE6EBF">
      <w:pPr>
        <w:ind w:firstLine="709"/>
        <w:jc w:val="both"/>
        <w:rPr>
          <w:sz w:val="28"/>
          <w:szCs w:val="28"/>
        </w:rPr>
      </w:pPr>
      <w:r w:rsidRPr="00FE6EBF">
        <w:rPr>
          <w:sz w:val="28"/>
          <w:szCs w:val="28"/>
        </w:rPr>
        <w:t>- пунктом 33 Устава определены источники финансирования учреждения, при этом в источники не включены, определенные для бюджетных учреждений пунктом 1.2 статьи 78.1 Бюджетного кодекса РФ Субсидии на выполнение муниципального задания и Субсидии на иные цели;</w:t>
      </w:r>
    </w:p>
    <w:p w:rsidR="00FE6EBF" w:rsidRPr="00FE6EBF" w:rsidRDefault="00FE6EBF" w:rsidP="00FE6EBF">
      <w:pPr>
        <w:ind w:firstLine="709"/>
        <w:jc w:val="both"/>
        <w:rPr>
          <w:sz w:val="28"/>
          <w:szCs w:val="28"/>
        </w:rPr>
      </w:pPr>
      <w:r w:rsidRPr="00FE6EBF">
        <w:rPr>
          <w:sz w:val="28"/>
          <w:szCs w:val="28"/>
        </w:rPr>
        <w:t>- Устав не содержит никаких положений о недвижимом имуществе и особо ценном движимом имуществе учреждения, о крупной сделке.</w:t>
      </w:r>
    </w:p>
    <w:p w:rsidR="00FE6EBF" w:rsidRPr="00FE6EBF" w:rsidRDefault="00FE6EBF" w:rsidP="00FE6EBF">
      <w:pPr>
        <w:ind w:firstLine="709"/>
        <w:jc w:val="both"/>
        <w:rPr>
          <w:sz w:val="28"/>
          <w:szCs w:val="28"/>
        </w:rPr>
      </w:pPr>
      <w:r w:rsidRPr="00FE6EBF">
        <w:rPr>
          <w:sz w:val="28"/>
          <w:szCs w:val="28"/>
        </w:rPr>
        <w:t>- в пункте 11 Устава отражено, что субсидиарную ответственность по обязательствам учреждения несет собственник закрепленного за ним имущества, что противоречит действующему законодательству, в частности Гражданскому кодексу РФ.</w:t>
      </w:r>
    </w:p>
    <w:p w:rsidR="00FE6EBF" w:rsidRPr="00FE6EBF" w:rsidRDefault="00FE6EBF" w:rsidP="00FE6EBF">
      <w:pPr>
        <w:pStyle w:val="aa"/>
        <w:spacing w:after="0" w:line="240" w:lineRule="auto"/>
        <w:ind w:left="0" w:firstLine="709"/>
        <w:jc w:val="both"/>
        <w:rPr>
          <w:rFonts w:ascii="Times New Roman" w:hAnsi="Times New Roman"/>
          <w:sz w:val="28"/>
          <w:szCs w:val="28"/>
        </w:rPr>
      </w:pPr>
      <w:r w:rsidRPr="00FE6EBF">
        <w:rPr>
          <w:rFonts w:ascii="Times New Roman" w:hAnsi="Times New Roman"/>
          <w:sz w:val="28"/>
          <w:szCs w:val="28"/>
        </w:rPr>
        <w:t xml:space="preserve">5. В нарушение пункта 1 статьи 69.2 Бюджетного кодекса РФ, пункта 4 статьи 9.2 Федерального закона от 12.01.1996 № 7-ФЗ «О некоммерческих организациях» в проверяемом периоде и на момент проведения проверки в </w:t>
      </w:r>
      <w:r w:rsidRPr="00FE6EBF">
        <w:rPr>
          <w:rFonts w:ascii="Times New Roman" w:hAnsi="Times New Roman"/>
          <w:sz w:val="28"/>
          <w:szCs w:val="28"/>
        </w:rPr>
        <w:lastRenderedPageBreak/>
        <w:t>МБУ «ЦКД» отсутствовал Порядок определения платы для физических и юридических лиц за услуги (работы), относящиеся к основным видам деятельности МБУ «Центр культуры и досуга»,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FE6EBF" w:rsidRPr="00FE6EBF" w:rsidRDefault="00FE6EBF" w:rsidP="00FE6EBF">
      <w:pPr>
        <w:pStyle w:val="aa"/>
        <w:spacing w:after="0" w:line="240" w:lineRule="auto"/>
        <w:ind w:left="0" w:firstLine="709"/>
        <w:jc w:val="both"/>
        <w:rPr>
          <w:rFonts w:ascii="Times New Roman" w:hAnsi="Times New Roman"/>
          <w:sz w:val="28"/>
          <w:szCs w:val="28"/>
        </w:rPr>
      </w:pPr>
      <w:r w:rsidRPr="00FE6EBF">
        <w:rPr>
          <w:rFonts w:ascii="Times New Roman" w:hAnsi="Times New Roman"/>
          <w:sz w:val="28"/>
          <w:szCs w:val="28"/>
        </w:rPr>
        <w:t xml:space="preserve">6. К </w:t>
      </w:r>
      <w:r w:rsidR="00DE18C7">
        <w:rPr>
          <w:rFonts w:ascii="Times New Roman" w:hAnsi="Times New Roman"/>
          <w:sz w:val="28"/>
          <w:szCs w:val="28"/>
        </w:rPr>
        <w:t xml:space="preserve">некоторым </w:t>
      </w:r>
      <w:r w:rsidRPr="00FE6EBF">
        <w:rPr>
          <w:rFonts w:ascii="Times New Roman" w:hAnsi="Times New Roman"/>
          <w:sz w:val="28"/>
          <w:szCs w:val="28"/>
        </w:rPr>
        <w:t xml:space="preserve">приходным кассовым ордерам, оформленным на прием спонсорской помощи от </w:t>
      </w:r>
      <w:r w:rsidR="00DE18C7">
        <w:rPr>
          <w:rFonts w:ascii="Times New Roman" w:hAnsi="Times New Roman"/>
          <w:sz w:val="28"/>
          <w:szCs w:val="28"/>
        </w:rPr>
        <w:t>индивидуальных предпринимателей,</w:t>
      </w:r>
      <w:r w:rsidRPr="00FE6EBF">
        <w:rPr>
          <w:rFonts w:ascii="Times New Roman" w:hAnsi="Times New Roman"/>
          <w:sz w:val="28"/>
          <w:szCs w:val="28"/>
        </w:rPr>
        <w:t xml:space="preserve"> не приложены письма, адресованные учреждением указанным предпринимателям, с просьбой об оказании спонсорской помощи (при этом в кассовых ордерах по строке «Приложение» отражено «Письмо»).</w:t>
      </w:r>
    </w:p>
    <w:p w:rsidR="00FE6EBF" w:rsidRPr="00C24667" w:rsidRDefault="00FE6EBF" w:rsidP="00FE6EBF">
      <w:pPr>
        <w:pStyle w:val="aa"/>
        <w:spacing w:after="0"/>
        <w:ind w:left="0"/>
        <w:jc w:val="both"/>
      </w:pPr>
    </w:p>
    <w:p w:rsidR="006A486E" w:rsidRDefault="006A486E" w:rsidP="00FE6EBF">
      <w:pPr>
        <w:pStyle w:val="aa"/>
        <w:spacing w:after="0" w:line="240" w:lineRule="auto"/>
        <w:ind w:left="0" w:firstLine="709"/>
        <w:jc w:val="both"/>
        <w:rPr>
          <w:sz w:val="28"/>
          <w:szCs w:val="28"/>
        </w:rPr>
      </w:pPr>
    </w:p>
    <w:p w:rsidR="00342CA2" w:rsidRPr="009E49B8" w:rsidRDefault="00342CA2" w:rsidP="00342CA2">
      <w:pPr>
        <w:ind w:firstLine="709"/>
        <w:jc w:val="both"/>
        <w:rPr>
          <w:b/>
          <w:bCs/>
          <w:sz w:val="28"/>
          <w:szCs w:val="28"/>
        </w:rPr>
      </w:pPr>
      <w:r w:rsidRPr="009E49B8">
        <w:rPr>
          <w:b/>
          <w:bCs/>
          <w:sz w:val="28"/>
          <w:szCs w:val="28"/>
        </w:rPr>
        <w:t>Дополнительная информация:</w:t>
      </w:r>
    </w:p>
    <w:p w:rsidR="00342CA2" w:rsidRPr="009E49B8" w:rsidRDefault="00342CA2" w:rsidP="00342CA2">
      <w:pPr>
        <w:ind w:firstLine="709"/>
        <w:jc w:val="both"/>
        <w:rPr>
          <w:bCs/>
          <w:sz w:val="28"/>
          <w:szCs w:val="28"/>
        </w:rPr>
      </w:pPr>
      <w:r w:rsidRPr="009E49B8">
        <w:rPr>
          <w:bCs/>
          <w:sz w:val="28"/>
          <w:szCs w:val="28"/>
        </w:rPr>
        <w:t xml:space="preserve">По результатам контрольного мероприятия Счетной палатой Колпашевского района составлен Акт от </w:t>
      </w:r>
      <w:r>
        <w:rPr>
          <w:bCs/>
          <w:sz w:val="28"/>
          <w:szCs w:val="28"/>
        </w:rPr>
        <w:t>16</w:t>
      </w:r>
      <w:r w:rsidRPr="009E49B8">
        <w:rPr>
          <w:bCs/>
          <w:sz w:val="28"/>
          <w:szCs w:val="28"/>
        </w:rPr>
        <w:t>.0</w:t>
      </w:r>
      <w:r>
        <w:rPr>
          <w:bCs/>
          <w:sz w:val="28"/>
          <w:szCs w:val="28"/>
        </w:rPr>
        <w:t>7</w:t>
      </w:r>
      <w:r w:rsidRPr="009E49B8">
        <w:rPr>
          <w:bCs/>
          <w:sz w:val="28"/>
          <w:szCs w:val="28"/>
        </w:rPr>
        <w:t>.2013 года.</w:t>
      </w:r>
      <w:r w:rsidRPr="007F37C1">
        <w:rPr>
          <w:sz w:val="28"/>
          <w:szCs w:val="28"/>
        </w:rPr>
        <w:t xml:space="preserve"> </w:t>
      </w:r>
      <w:r w:rsidRPr="009E49B8">
        <w:rPr>
          <w:bCs/>
          <w:sz w:val="28"/>
          <w:szCs w:val="28"/>
        </w:rPr>
        <w:t>В соответствии со статьей 18 Положения о Счетной палате Колпашевского района, утвержденного решением Думы Колпашевского района от 23.04.2012 № 43 «О Счетной палате Колпашевского района» директору Муниципального бюджетного учреждения «</w:t>
      </w:r>
      <w:r>
        <w:rPr>
          <w:bCs/>
          <w:sz w:val="28"/>
          <w:szCs w:val="28"/>
        </w:rPr>
        <w:t>Центр культуры и досуга</w:t>
      </w:r>
      <w:r w:rsidRPr="009E49B8">
        <w:rPr>
          <w:bCs/>
          <w:sz w:val="28"/>
          <w:szCs w:val="28"/>
        </w:rPr>
        <w:t xml:space="preserve">» направлено представление от </w:t>
      </w:r>
      <w:r w:rsidR="00CA3AF7">
        <w:rPr>
          <w:bCs/>
          <w:sz w:val="28"/>
          <w:szCs w:val="28"/>
        </w:rPr>
        <w:t>22</w:t>
      </w:r>
      <w:r w:rsidRPr="009E49B8">
        <w:rPr>
          <w:bCs/>
          <w:sz w:val="28"/>
          <w:szCs w:val="28"/>
        </w:rPr>
        <w:t>.0</w:t>
      </w:r>
      <w:r>
        <w:rPr>
          <w:bCs/>
          <w:sz w:val="28"/>
          <w:szCs w:val="28"/>
        </w:rPr>
        <w:t>7</w:t>
      </w:r>
      <w:r w:rsidR="00CA3AF7">
        <w:rPr>
          <w:bCs/>
          <w:sz w:val="28"/>
          <w:szCs w:val="28"/>
        </w:rPr>
        <w:t>.2013 г.</w:t>
      </w:r>
      <w:r w:rsidRPr="009E49B8">
        <w:rPr>
          <w:bCs/>
          <w:sz w:val="28"/>
          <w:szCs w:val="28"/>
        </w:rPr>
        <w:t xml:space="preserve"> о принятии соответствующих мер по устранению выявленных нарушений.</w:t>
      </w:r>
    </w:p>
    <w:p w:rsidR="00342CA2" w:rsidRPr="009E49B8" w:rsidRDefault="00342CA2" w:rsidP="00342CA2">
      <w:pPr>
        <w:ind w:firstLine="709"/>
        <w:jc w:val="both"/>
        <w:rPr>
          <w:bCs/>
          <w:sz w:val="28"/>
          <w:szCs w:val="28"/>
        </w:rPr>
      </w:pPr>
    </w:p>
    <w:p w:rsidR="00342CA2" w:rsidRDefault="00342CA2" w:rsidP="00342CA2">
      <w:pPr>
        <w:pStyle w:val="21"/>
        <w:spacing w:after="0" w:line="240" w:lineRule="auto"/>
      </w:pPr>
    </w:p>
    <w:sectPr w:rsidR="00342CA2" w:rsidSect="00A0098E">
      <w:footerReference w:type="default" r:id="rId8"/>
      <w:pgSz w:w="11906" w:h="16838"/>
      <w:pgMar w:top="1134" w:right="73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815" w:rsidRDefault="00706815" w:rsidP="00BE381E">
      <w:r>
        <w:separator/>
      </w:r>
    </w:p>
  </w:endnote>
  <w:endnote w:type="continuationSeparator" w:id="1">
    <w:p w:rsidR="00706815" w:rsidRDefault="00706815" w:rsidP="00BE38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3776"/>
      <w:docPartObj>
        <w:docPartGallery w:val="Page Numbers (Bottom of Page)"/>
        <w:docPartUnique/>
      </w:docPartObj>
    </w:sdtPr>
    <w:sdtContent>
      <w:p w:rsidR="00A0098E" w:rsidRDefault="00B67503">
        <w:pPr>
          <w:pStyle w:val="ae"/>
          <w:jc w:val="right"/>
        </w:pPr>
        <w:fldSimple w:instr=" PAGE   \* MERGEFORMAT ">
          <w:r w:rsidR="00DE18C7">
            <w:rPr>
              <w:noProof/>
            </w:rPr>
            <w:t>2</w:t>
          </w:r>
        </w:fldSimple>
      </w:p>
    </w:sdtContent>
  </w:sdt>
  <w:p w:rsidR="00A0098E" w:rsidRDefault="00A0098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815" w:rsidRDefault="00706815" w:rsidP="00BE381E">
      <w:r>
        <w:separator/>
      </w:r>
    </w:p>
  </w:footnote>
  <w:footnote w:type="continuationSeparator" w:id="1">
    <w:p w:rsidR="00706815" w:rsidRDefault="00706815" w:rsidP="00BE38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FC0"/>
    <w:multiLevelType w:val="hybridMultilevel"/>
    <w:tmpl w:val="1A6C2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8E253C"/>
    <w:multiLevelType w:val="hybridMultilevel"/>
    <w:tmpl w:val="41CA3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6C39CD"/>
    <w:multiLevelType w:val="hybridMultilevel"/>
    <w:tmpl w:val="20384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B0705F"/>
    <w:multiLevelType w:val="hybridMultilevel"/>
    <w:tmpl w:val="818C43E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C366BB5"/>
    <w:multiLevelType w:val="hybridMultilevel"/>
    <w:tmpl w:val="0B064030"/>
    <w:lvl w:ilvl="0" w:tplc="86FA90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5B4A78"/>
    <w:multiLevelType w:val="hybridMultilevel"/>
    <w:tmpl w:val="8EB2E3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B30ED"/>
    <w:rsid w:val="00055989"/>
    <w:rsid w:val="00107CFC"/>
    <w:rsid w:val="001C274C"/>
    <w:rsid w:val="00251689"/>
    <w:rsid w:val="00327BA9"/>
    <w:rsid w:val="00342CA2"/>
    <w:rsid w:val="00352D2C"/>
    <w:rsid w:val="00370CF0"/>
    <w:rsid w:val="00376D23"/>
    <w:rsid w:val="003F02DB"/>
    <w:rsid w:val="00416AA1"/>
    <w:rsid w:val="004845CE"/>
    <w:rsid w:val="00514832"/>
    <w:rsid w:val="005D1788"/>
    <w:rsid w:val="006A486E"/>
    <w:rsid w:val="006F177E"/>
    <w:rsid w:val="00706815"/>
    <w:rsid w:val="00775699"/>
    <w:rsid w:val="007B7AED"/>
    <w:rsid w:val="007C295E"/>
    <w:rsid w:val="007C4FA1"/>
    <w:rsid w:val="007C73F0"/>
    <w:rsid w:val="00813839"/>
    <w:rsid w:val="008F59AC"/>
    <w:rsid w:val="00954385"/>
    <w:rsid w:val="009D7DBD"/>
    <w:rsid w:val="00A0098E"/>
    <w:rsid w:val="00A840D0"/>
    <w:rsid w:val="00B67503"/>
    <w:rsid w:val="00B76DB7"/>
    <w:rsid w:val="00BB30ED"/>
    <w:rsid w:val="00BE381E"/>
    <w:rsid w:val="00C1364C"/>
    <w:rsid w:val="00C77604"/>
    <w:rsid w:val="00C81C45"/>
    <w:rsid w:val="00C95735"/>
    <w:rsid w:val="00CA3AF7"/>
    <w:rsid w:val="00CA6B1B"/>
    <w:rsid w:val="00D01D1F"/>
    <w:rsid w:val="00D04F0B"/>
    <w:rsid w:val="00D75467"/>
    <w:rsid w:val="00DC1C1A"/>
    <w:rsid w:val="00DC3247"/>
    <w:rsid w:val="00DE18C7"/>
    <w:rsid w:val="00F33C05"/>
    <w:rsid w:val="00F904BE"/>
    <w:rsid w:val="00FE6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0E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BB30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BB30ED"/>
    <w:pPr>
      <w:keepNext/>
      <w:tabs>
        <w:tab w:val="num" w:pos="576"/>
      </w:tabs>
      <w:ind w:left="576" w:hanging="576"/>
      <w:jc w:val="center"/>
      <w:outlineLvl w:val="1"/>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30ED"/>
    <w:rPr>
      <w:rFonts w:ascii="Times New Roman" w:eastAsia="Times New Roman" w:hAnsi="Times New Roman" w:cs="Times New Roman"/>
      <w:b/>
      <w:sz w:val="36"/>
      <w:szCs w:val="20"/>
      <w:lang w:eastAsia="ar-SA"/>
    </w:rPr>
  </w:style>
  <w:style w:type="paragraph" w:styleId="a3">
    <w:name w:val="Title"/>
    <w:basedOn w:val="a"/>
    <w:next w:val="a"/>
    <w:link w:val="a4"/>
    <w:qFormat/>
    <w:rsid w:val="00BB30ED"/>
    <w:pPr>
      <w:jc w:val="center"/>
    </w:pPr>
    <w:rPr>
      <w:rFonts w:ascii="Arial" w:hAnsi="Arial" w:cs="Arial"/>
      <w:b/>
      <w:bCs/>
    </w:rPr>
  </w:style>
  <w:style w:type="character" w:customStyle="1" w:styleId="a4">
    <w:name w:val="Название Знак"/>
    <w:basedOn w:val="a0"/>
    <w:link w:val="a3"/>
    <w:rsid w:val="00BB30ED"/>
    <w:rPr>
      <w:rFonts w:ascii="Arial" w:eastAsia="Times New Roman" w:hAnsi="Arial" w:cs="Arial"/>
      <w:b/>
      <w:bCs/>
      <w:sz w:val="24"/>
      <w:szCs w:val="24"/>
      <w:lang w:eastAsia="ar-SA"/>
    </w:rPr>
  </w:style>
  <w:style w:type="paragraph" w:styleId="a5">
    <w:name w:val="Body Text"/>
    <w:basedOn w:val="a"/>
    <w:link w:val="a6"/>
    <w:rsid w:val="00BB30ED"/>
    <w:pPr>
      <w:suppressAutoHyphens w:val="0"/>
      <w:jc w:val="both"/>
    </w:pPr>
    <w:rPr>
      <w:sz w:val="28"/>
      <w:lang w:eastAsia="ru-RU"/>
    </w:rPr>
  </w:style>
  <w:style w:type="character" w:customStyle="1" w:styleId="a6">
    <w:name w:val="Основной текст Знак"/>
    <w:basedOn w:val="a0"/>
    <w:link w:val="a5"/>
    <w:rsid w:val="00BB30ED"/>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BB30ED"/>
    <w:rPr>
      <w:rFonts w:asciiTheme="majorHAnsi" w:eastAsiaTheme="majorEastAsia" w:hAnsiTheme="majorHAnsi" w:cstheme="majorBidi"/>
      <w:b/>
      <w:bCs/>
      <w:color w:val="365F91" w:themeColor="accent1" w:themeShade="BF"/>
      <w:sz w:val="28"/>
      <w:szCs w:val="28"/>
      <w:lang w:eastAsia="ar-SA"/>
    </w:rPr>
  </w:style>
  <w:style w:type="paragraph" w:styleId="a7">
    <w:name w:val="List Paragraph"/>
    <w:basedOn w:val="a"/>
    <w:uiPriority w:val="34"/>
    <w:qFormat/>
    <w:rsid w:val="00BB30ED"/>
    <w:pPr>
      <w:suppressAutoHyphens w:val="0"/>
      <w:spacing w:after="200" w:line="276" w:lineRule="auto"/>
      <w:ind w:left="720"/>
      <w:contextualSpacing/>
    </w:pPr>
    <w:rPr>
      <w:rFonts w:ascii="Calibri" w:hAnsi="Calibri"/>
      <w:sz w:val="22"/>
      <w:szCs w:val="22"/>
      <w:lang w:eastAsia="ru-RU"/>
    </w:rPr>
  </w:style>
  <w:style w:type="paragraph" w:customStyle="1" w:styleId="a8">
    <w:name w:val="Прижатый влево"/>
    <w:basedOn w:val="a"/>
    <w:next w:val="a"/>
    <w:uiPriority w:val="99"/>
    <w:rsid w:val="00BB30ED"/>
    <w:pPr>
      <w:suppressAutoHyphens w:val="0"/>
      <w:autoSpaceDE w:val="0"/>
      <w:autoSpaceDN w:val="0"/>
      <w:adjustRightInd w:val="0"/>
    </w:pPr>
    <w:rPr>
      <w:rFonts w:ascii="Arial" w:eastAsia="Calibri" w:hAnsi="Arial" w:cs="Arial"/>
      <w:lang w:eastAsia="ru-RU"/>
    </w:rPr>
  </w:style>
  <w:style w:type="table" w:styleId="a9">
    <w:name w:val="Table Grid"/>
    <w:basedOn w:val="a1"/>
    <w:uiPriority w:val="59"/>
    <w:rsid w:val="004845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3"/>
    <w:basedOn w:val="a"/>
    <w:link w:val="30"/>
    <w:uiPriority w:val="99"/>
    <w:semiHidden/>
    <w:unhideWhenUsed/>
    <w:rsid w:val="00352D2C"/>
    <w:pPr>
      <w:suppressAutoHyphens w:val="0"/>
      <w:spacing w:after="120" w:line="276" w:lineRule="auto"/>
    </w:pPr>
    <w:rPr>
      <w:rFonts w:ascii="Calibri" w:hAnsi="Calibri"/>
      <w:sz w:val="16"/>
      <w:szCs w:val="16"/>
      <w:lang w:eastAsia="ru-RU"/>
    </w:rPr>
  </w:style>
  <w:style w:type="character" w:customStyle="1" w:styleId="30">
    <w:name w:val="Основной текст 3 Знак"/>
    <w:basedOn w:val="a0"/>
    <w:link w:val="3"/>
    <w:uiPriority w:val="99"/>
    <w:semiHidden/>
    <w:rsid w:val="00352D2C"/>
    <w:rPr>
      <w:rFonts w:ascii="Calibri" w:eastAsia="Times New Roman" w:hAnsi="Calibri" w:cs="Times New Roman"/>
      <w:sz w:val="16"/>
      <w:szCs w:val="16"/>
      <w:lang w:eastAsia="ru-RU"/>
    </w:rPr>
  </w:style>
  <w:style w:type="paragraph" w:styleId="aa">
    <w:name w:val="Body Text Indent"/>
    <w:basedOn w:val="a"/>
    <w:link w:val="ab"/>
    <w:uiPriority w:val="99"/>
    <w:unhideWhenUsed/>
    <w:rsid w:val="006F177E"/>
    <w:pPr>
      <w:suppressAutoHyphens w:val="0"/>
      <w:spacing w:after="120" w:line="276" w:lineRule="auto"/>
      <w:ind w:left="283"/>
    </w:pPr>
    <w:rPr>
      <w:rFonts w:ascii="Calibri" w:hAnsi="Calibri"/>
      <w:sz w:val="22"/>
      <w:szCs w:val="22"/>
      <w:lang w:eastAsia="ru-RU"/>
    </w:rPr>
  </w:style>
  <w:style w:type="character" w:customStyle="1" w:styleId="ab">
    <w:name w:val="Основной текст с отступом Знак"/>
    <w:basedOn w:val="a0"/>
    <w:link w:val="aa"/>
    <w:uiPriority w:val="99"/>
    <w:rsid w:val="006F177E"/>
    <w:rPr>
      <w:rFonts w:ascii="Calibri" w:eastAsia="Times New Roman" w:hAnsi="Calibri" w:cs="Times New Roman"/>
      <w:lang w:eastAsia="ru-RU"/>
    </w:rPr>
  </w:style>
  <w:style w:type="paragraph" w:styleId="21">
    <w:name w:val="Body Text 2"/>
    <w:basedOn w:val="a"/>
    <w:link w:val="22"/>
    <w:uiPriority w:val="99"/>
    <w:semiHidden/>
    <w:unhideWhenUsed/>
    <w:rsid w:val="00C81C45"/>
    <w:pPr>
      <w:spacing w:after="120" w:line="480" w:lineRule="auto"/>
    </w:pPr>
  </w:style>
  <w:style w:type="character" w:customStyle="1" w:styleId="22">
    <w:name w:val="Основной текст 2 Знак"/>
    <w:basedOn w:val="a0"/>
    <w:link w:val="21"/>
    <w:uiPriority w:val="99"/>
    <w:semiHidden/>
    <w:rsid w:val="00C81C45"/>
    <w:rPr>
      <w:rFonts w:ascii="Times New Roman" w:eastAsia="Times New Roman" w:hAnsi="Times New Roman" w:cs="Times New Roman"/>
      <w:sz w:val="24"/>
      <w:szCs w:val="24"/>
      <w:lang w:eastAsia="ar-SA"/>
    </w:rPr>
  </w:style>
  <w:style w:type="paragraph" w:styleId="ac">
    <w:name w:val="header"/>
    <w:basedOn w:val="a"/>
    <w:link w:val="ad"/>
    <w:uiPriority w:val="99"/>
    <w:unhideWhenUsed/>
    <w:rsid w:val="00BE381E"/>
    <w:pPr>
      <w:tabs>
        <w:tab w:val="center" w:pos="4677"/>
        <w:tab w:val="right" w:pos="9355"/>
      </w:tabs>
    </w:pPr>
  </w:style>
  <w:style w:type="character" w:customStyle="1" w:styleId="ad">
    <w:name w:val="Верхний колонтитул Знак"/>
    <w:basedOn w:val="a0"/>
    <w:link w:val="ac"/>
    <w:uiPriority w:val="99"/>
    <w:rsid w:val="00BE381E"/>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BE381E"/>
    <w:pPr>
      <w:tabs>
        <w:tab w:val="center" w:pos="4677"/>
        <w:tab w:val="right" w:pos="9355"/>
      </w:tabs>
    </w:pPr>
  </w:style>
  <w:style w:type="character" w:customStyle="1" w:styleId="af">
    <w:name w:val="Нижний колонтитул Знак"/>
    <w:basedOn w:val="a0"/>
    <w:link w:val="ae"/>
    <w:uiPriority w:val="99"/>
    <w:rsid w:val="00BE381E"/>
    <w:rPr>
      <w:rFonts w:ascii="Times New Roman" w:eastAsia="Times New Roman" w:hAnsi="Times New Roman" w:cs="Times New Roman"/>
      <w:sz w:val="24"/>
      <w:szCs w:val="24"/>
      <w:lang w:eastAsia="ar-SA"/>
    </w:rPr>
  </w:style>
  <w:style w:type="paragraph" w:styleId="af0">
    <w:name w:val="Balloon Text"/>
    <w:basedOn w:val="a"/>
    <w:link w:val="af1"/>
    <w:uiPriority w:val="99"/>
    <w:semiHidden/>
    <w:unhideWhenUsed/>
    <w:rsid w:val="00A0098E"/>
    <w:rPr>
      <w:rFonts w:ascii="Tahoma" w:hAnsi="Tahoma" w:cs="Tahoma"/>
      <w:sz w:val="16"/>
      <w:szCs w:val="16"/>
    </w:rPr>
  </w:style>
  <w:style w:type="character" w:customStyle="1" w:styleId="af1">
    <w:name w:val="Текст выноски Знак"/>
    <w:basedOn w:val="a0"/>
    <w:link w:val="af0"/>
    <w:uiPriority w:val="99"/>
    <w:semiHidden/>
    <w:rsid w:val="00A0098E"/>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A0D41-335A-4367-80A0-C56D359F0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1338</Words>
  <Characters>7629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Merzlyakova</dc:creator>
  <cp:keywords/>
  <dc:description/>
  <cp:lastModifiedBy>Muratov</cp:lastModifiedBy>
  <cp:revision>17</cp:revision>
  <cp:lastPrinted>2013-07-22T09:04:00Z</cp:lastPrinted>
  <dcterms:created xsi:type="dcterms:W3CDTF">2013-07-17T08:44:00Z</dcterms:created>
  <dcterms:modified xsi:type="dcterms:W3CDTF">2013-10-13T10:27:00Z</dcterms:modified>
</cp:coreProperties>
</file>