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F5FE" w14:textId="77777777" w:rsidR="00280D16" w:rsidRPr="007848C6" w:rsidRDefault="00280D16" w:rsidP="00280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</w:t>
      </w:r>
      <w:r w:rsidRPr="007848C6">
        <w:rPr>
          <w:rFonts w:ascii="Times New Roman" w:hAnsi="Times New Roman"/>
          <w:b/>
          <w:sz w:val="28"/>
          <w:szCs w:val="28"/>
        </w:rPr>
        <w:t xml:space="preserve">Т </w:t>
      </w:r>
    </w:p>
    <w:p w14:paraId="45B0F18E" w14:textId="77777777" w:rsidR="00280D16" w:rsidRPr="007848C6" w:rsidRDefault="00280D16" w:rsidP="00280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8C6">
        <w:rPr>
          <w:rFonts w:ascii="Times New Roman" w:hAnsi="Times New Roman"/>
          <w:b/>
          <w:sz w:val="28"/>
          <w:szCs w:val="28"/>
        </w:rPr>
        <w:t>о деятельности</w:t>
      </w:r>
      <w:r>
        <w:rPr>
          <w:rFonts w:ascii="Times New Roman" w:hAnsi="Times New Roman"/>
          <w:b/>
          <w:sz w:val="28"/>
          <w:szCs w:val="28"/>
        </w:rPr>
        <w:t xml:space="preserve"> Счё</w:t>
      </w:r>
      <w:r w:rsidRPr="007848C6">
        <w:rPr>
          <w:rFonts w:ascii="Times New Roman" w:hAnsi="Times New Roman"/>
          <w:b/>
          <w:sz w:val="28"/>
          <w:szCs w:val="28"/>
        </w:rPr>
        <w:t xml:space="preserve">тной палаты Колпашевского района </w:t>
      </w:r>
    </w:p>
    <w:p w14:paraId="302FBE16" w14:textId="13A9FCDE" w:rsidR="00280D16" w:rsidRPr="007848C6" w:rsidRDefault="00280D16" w:rsidP="00280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8C6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2</w:t>
      </w:r>
      <w:r w:rsidR="009B096B">
        <w:rPr>
          <w:rFonts w:ascii="Times New Roman" w:hAnsi="Times New Roman"/>
          <w:b/>
          <w:sz w:val="28"/>
          <w:szCs w:val="28"/>
        </w:rPr>
        <w:t>5</w:t>
      </w:r>
      <w:r w:rsidRPr="007848C6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329C223E" w14:textId="77777777" w:rsidR="00280D16" w:rsidRPr="00405C8C" w:rsidRDefault="00280D16" w:rsidP="00280D1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ADA6C9B" w14:textId="58E36411" w:rsidR="00280D16" w:rsidRPr="00E92754" w:rsidRDefault="00280D16" w:rsidP="00280D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Отчёт о деятельности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палаты Колпашев</w:t>
      </w:r>
      <w:r>
        <w:rPr>
          <w:rFonts w:ascii="Times New Roman" w:hAnsi="Times New Roman"/>
          <w:color w:val="000000"/>
          <w:sz w:val="28"/>
          <w:szCs w:val="28"/>
        </w:rPr>
        <w:t>ского района (далее – отчёт, Счё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тная палата, Палата) </w:t>
      </w:r>
      <w:r w:rsidR="0000596F" w:rsidRPr="0000596F">
        <w:rPr>
          <w:rFonts w:ascii="Times New Roman" w:hAnsi="Times New Roman"/>
          <w:color w:val="000000"/>
          <w:sz w:val="28"/>
          <w:szCs w:val="28"/>
        </w:rPr>
        <w:t>является формой реализации принципов открытости и гласности контрольно-счётных органов</w:t>
      </w:r>
      <w:r w:rsidRPr="00E92754">
        <w:rPr>
          <w:rFonts w:ascii="Times New Roman" w:hAnsi="Times New Roman"/>
          <w:color w:val="000000"/>
          <w:sz w:val="28"/>
          <w:szCs w:val="28"/>
        </w:rPr>
        <w:t>. Отчёт представляется на рассмотрение Думы Колпашевского района во исполнение статьи 19 Федерального закона от 07.02.2011 № 6-ФЗ «Об общих принципах организации и деятельности контрольно-счётных органов субъектов Российской Федерации</w:t>
      </w:r>
      <w:r w:rsidR="0000596F">
        <w:rPr>
          <w:rFonts w:ascii="Times New Roman" w:hAnsi="Times New Roman"/>
          <w:color w:val="000000"/>
          <w:sz w:val="28"/>
          <w:szCs w:val="28"/>
        </w:rPr>
        <w:t>, федеральных территорий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и муниципальных образований» (далее – Федеральный закон № </w:t>
      </w:r>
      <w:r>
        <w:rPr>
          <w:rFonts w:ascii="Times New Roman" w:hAnsi="Times New Roman"/>
          <w:color w:val="000000"/>
          <w:sz w:val="28"/>
          <w:szCs w:val="28"/>
        </w:rPr>
        <w:t>6-ФЗ), статьи 26 Положения о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палате Колпашевского района, утвержденного решением Думы Колпашевского района от 23.04.2012 № 43.</w:t>
      </w:r>
    </w:p>
    <w:p w14:paraId="1885461C" w14:textId="0F1EB761" w:rsidR="00280D16" w:rsidRDefault="00280D16" w:rsidP="00280D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Счё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тная палата </w:t>
      </w:r>
      <w:r>
        <w:rPr>
          <w:rFonts w:ascii="Times New Roman" w:hAnsi="Times New Roman"/>
          <w:color w:val="000000"/>
          <w:sz w:val="28"/>
          <w:szCs w:val="28"/>
        </w:rPr>
        <w:t>образована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2754">
        <w:rPr>
          <w:rFonts w:ascii="Times New Roman" w:hAnsi="Times New Roman"/>
          <w:color w:val="000000"/>
          <w:spacing w:val="-4"/>
          <w:sz w:val="28"/>
          <w:szCs w:val="28"/>
        </w:rPr>
        <w:t>Думой Колпашевского района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подотчё</w:t>
      </w:r>
      <w:r w:rsidRPr="00E92754">
        <w:rPr>
          <w:rFonts w:ascii="Times New Roman" w:hAnsi="Times New Roman"/>
          <w:color w:val="000000"/>
          <w:sz w:val="28"/>
          <w:szCs w:val="28"/>
        </w:rPr>
        <w:t>тна ей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E92754">
        <w:rPr>
          <w:rFonts w:ascii="Times New Roman" w:hAnsi="Times New Roman"/>
          <w:color w:val="000000"/>
          <w:spacing w:val="-4"/>
          <w:sz w:val="28"/>
          <w:szCs w:val="28"/>
        </w:rPr>
        <w:t xml:space="preserve">является постоянно действующим органом внешнего муниципального финансового контроля </w:t>
      </w:r>
      <w:r w:rsidRPr="00E92754">
        <w:rPr>
          <w:rFonts w:ascii="Times New Roman" w:hAnsi="Times New Roman"/>
          <w:color w:val="000000"/>
          <w:sz w:val="28"/>
          <w:szCs w:val="28"/>
        </w:rPr>
        <w:t>муниципального образования «Колпашевский район»</w:t>
      </w:r>
      <w:r w:rsidRPr="00E92754">
        <w:rPr>
          <w:rFonts w:ascii="Times New Roman" w:hAnsi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органом местного самоуправления. Кроме того, о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бладает организационной и </w:t>
      </w:r>
      <w:r w:rsidRPr="00E92754">
        <w:rPr>
          <w:rFonts w:ascii="Times New Roman" w:hAnsi="Times New Roman"/>
          <w:color w:val="000000"/>
          <w:spacing w:val="-1"/>
          <w:sz w:val="28"/>
          <w:szCs w:val="28"/>
        </w:rPr>
        <w:t>функциональ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ной независимостью и осуществляе</w:t>
      </w:r>
      <w:r w:rsidRPr="00E92754">
        <w:rPr>
          <w:rFonts w:ascii="Times New Roman" w:hAnsi="Times New Roman"/>
          <w:color w:val="000000"/>
          <w:spacing w:val="-1"/>
          <w:sz w:val="28"/>
          <w:szCs w:val="28"/>
        </w:rPr>
        <w:t xml:space="preserve">т свою деятельность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самостоятельно </w:t>
      </w:r>
      <w:r w:rsidRPr="00E92754">
        <w:rPr>
          <w:rFonts w:ascii="Times New Roman" w:hAnsi="Times New Roman"/>
          <w:color w:val="000000"/>
          <w:sz w:val="28"/>
          <w:szCs w:val="28"/>
        </w:rPr>
        <w:t>на основе Конституции Российской Федерации, федерального законодательства, законов Томской области, Устава Колпашевского района,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Положения и иных муниципальных нормативных правовых актов муниципального образования «Колпашевский район». </w:t>
      </w:r>
    </w:p>
    <w:p w14:paraId="4BDF64CE" w14:textId="77777777" w:rsidR="00280D16" w:rsidRPr="00E92754" w:rsidRDefault="00280D16" w:rsidP="00280D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В соответствии с пун</w:t>
      </w:r>
      <w:r>
        <w:rPr>
          <w:rFonts w:ascii="Times New Roman" w:hAnsi="Times New Roman"/>
          <w:color w:val="000000"/>
          <w:sz w:val="28"/>
          <w:szCs w:val="28"/>
        </w:rPr>
        <w:t>ктом 2 статьи 26 Положения о Счётной палате Счё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тная палата Колпашевского района ежегодно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представляет отчёт о своей деятельности на рассмотрение 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в Думу Колпашевского района. </w:t>
      </w:r>
    </w:p>
    <w:p w14:paraId="542B1B5C" w14:textId="20366E87" w:rsidR="00280D16" w:rsidRDefault="00280D16" w:rsidP="00280D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Указанный отчёт подлежит опубликованию в средствах массовой информации и размещению в сети Интернет только после его рассмотрения Думой Колпашевского района.</w:t>
      </w:r>
    </w:p>
    <w:p w14:paraId="633AF1B4" w14:textId="77777777" w:rsidR="0000596F" w:rsidRPr="00E92754" w:rsidRDefault="0000596F" w:rsidP="00280D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B395C2" w14:textId="77777777" w:rsidR="0000596F" w:rsidRPr="00E92754" w:rsidRDefault="0000596F" w:rsidP="0000596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2754">
        <w:rPr>
          <w:rFonts w:ascii="Times New Roman" w:hAnsi="Times New Roman"/>
          <w:b/>
          <w:color w:val="000000"/>
          <w:sz w:val="28"/>
          <w:szCs w:val="28"/>
        </w:rPr>
        <w:t>Общие сведения</w:t>
      </w:r>
    </w:p>
    <w:p w14:paraId="7584F2F0" w14:textId="77777777" w:rsidR="0000596F" w:rsidRPr="00405E7C" w:rsidRDefault="0000596F" w:rsidP="0000596F">
      <w:pPr>
        <w:spacing w:after="0" w:line="240" w:lineRule="auto"/>
        <w:ind w:left="720"/>
        <w:rPr>
          <w:rFonts w:ascii="Times New Roman" w:hAnsi="Times New Roman"/>
          <w:color w:val="000000"/>
          <w:sz w:val="16"/>
          <w:szCs w:val="16"/>
        </w:rPr>
      </w:pPr>
    </w:p>
    <w:p w14:paraId="51083E8D" w14:textId="67577D3A" w:rsidR="0000596F" w:rsidRDefault="0000596F" w:rsidP="0000596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  <w:t>Счётная палата образована 23 апреля 2012 года Думой Колпашевского района.</w:t>
      </w:r>
    </w:p>
    <w:p w14:paraId="445476B9" w14:textId="45112384" w:rsidR="0000596F" w:rsidRDefault="0000596F" w:rsidP="000059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Организация работы в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9B096B">
        <w:rPr>
          <w:rFonts w:ascii="Times New Roman" w:hAnsi="Times New Roman"/>
          <w:color w:val="000000"/>
          <w:sz w:val="28"/>
          <w:szCs w:val="28"/>
        </w:rPr>
        <w:t>5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году традиционно строилась на укреплении и развитии основополагающих принципов эффективного функциони</w:t>
      </w:r>
      <w:r>
        <w:rPr>
          <w:rFonts w:ascii="Times New Roman" w:hAnsi="Times New Roman"/>
          <w:color w:val="000000"/>
          <w:sz w:val="28"/>
          <w:szCs w:val="28"/>
        </w:rPr>
        <w:t>рования органа внешнего муниципального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финансового контроля: законности, объективности, эффективности, независимости</w:t>
      </w:r>
      <w:r>
        <w:rPr>
          <w:rFonts w:ascii="Times New Roman" w:hAnsi="Times New Roman"/>
          <w:color w:val="000000"/>
          <w:sz w:val="28"/>
          <w:szCs w:val="28"/>
        </w:rPr>
        <w:t>, открытости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и гласности. </w:t>
      </w:r>
    </w:p>
    <w:p w14:paraId="775B6654" w14:textId="0B19F9DB" w:rsidR="0000596F" w:rsidRPr="00E92754" w:rsidRDefault="0000596F" w:rsidP="000059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тная палата ос</w:t>
      </w:r>
      <w:r>
        <w:rPr>
          <w:rFonts w:ascii="Times New Roman" w:hAnsi="Times New Roman"/>
          <w:color w:val="000000"/>
          <w:sz w:val="28"/>
          <w:szCs w:val="28"/>
        </w:rPr>
        <w:t xml:space="preserve">уществляла свою деятельность в отчётном </w:t>
      </w:r>
      <w:r w:rsidRPr="00E92754">
        <w:rPr>
          <w:rFonts w:ascii="Times New Roman" w:hAnsi="Times New Roman"/>
          <w:color w:val="000000"/>
          <w:sz w:val="28"/>
          <w:szCs w:val="28"/>
        </w:rPr>
        <w:t>году в соответствии с Планом работы 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9B096B">
        <w:rPr>
          <w:rFonts w:ascii="Times New Roman" w:hAnsi="Times New Roman"/>
          <w:color w:val="000000"/>
          <w:sz w:val="28"/>
          <w:szCs w:val="28"/>
        </w:rPr>
        <w:t>5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</w:rPr>
        <w:t>утвержденным приказом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палаты и включающим</w:t>
      </w:r>
      <w:r w:rsidR="009B096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9B096B">
        <w:rPr>
          <w:rFonts w:ascii="Times New Roman" w:hAnsi="Times New Roman"/>
          <w:color w:val="000000"/>
          <w:sz w:val="28"/>
          <w:szCs w:val="28"/>
        </w:rPr>
        <w:t>6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, в том числе </w:t>
      </w:r>
      <w:r w:rsidR="00972564">
        <w:rPr>
          <w:rFonts w:ascii="Times New Roman" w:hAnsi="Times New Roman"/>
          <w:color w:val="000000"/>
          <w:sz w:val="28"/>
          <w:szCs w:val="28"/>
        </w:rPr>
        <w:t>5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контрольных и </w:t>
      </w:r>
      <w:r w:rsidR="000E5866">
        <w:rPr>
          <w:rFonts w:ascii="Times New Roman" w:hAnsi="Times New Roman"/>
          <w:color w:val="000000"/>
          <w:sz w:val="28"/>
          <w:szCs w:val="28"/>
        </w:rPr>
        <w:t>2</w:t>
      </w:r>
      <w:r w:rsidR="00972564">
        <w:rPr>
          <w:rFonts w:ascii="Times New Roman" w:hAnsi="Times New Roman"/>
          <w:color w:val="000000"/>
          <w:sz w:val="28"/>
          <w:szCs w:val="28"/>
        </w:rPr>
        <w:t>1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экспертно-аналитических.</w:t>
      </w:r>
    </w:p>
    <w:p w14:paraId="3A42C602" w14:textId="6622D65A" w:rsidR="000E5866" w:rsidRDefault="0000596F" w:rsidP="000059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lastRenderedPageBreak/>
        <w:t>План работы сформирован исходя из полном</w:t>
      </w:r>
      <w:r>
        <w:rPr>
          <w:rFonts w:ascii="Times New Roman" w:hAnsi="Times New Roman"/>
          <w:color w:val="000000"/>
          <w:sz w:val="28"/>
          <w:szCs w:val="28"/>
        </w:rPr>
        <w:t>очий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2754">
        <w:rPr>
          <w:rFonts w:ascii="Times New Roman" w:hAnsi="Times New Roman"/>
          <w:color w:val="000000"/>
          <w:sz w:val="28"/>
          <w:szCs w:val="28"/>
        </w:rPr>
        <w:t>с учетом поручений, поступивших от представительных органов муниципальных о</w:t>
      </w:r>
      <w:r>
        <w:rPr>
          <w:rFonts w:ascii="Times New Roman" w:hAnsi="Times New Roman"/>
          <w:color w:val="000000"/>
          <w:sz w:val="28"/>
          <w:szCs w:val="28"/>
        </w:rPr>
        <w:t xml:space="preserve">бразований Колпашевского района, обеспечения всестороннего системного внешнего муниципального финансового контроля и составлен 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с исключением дублирования проводимых мероприятий органом внутреннего муниципального финансового контроля. </w:t>
      </w:r>
      <w:r w:rsidR="009B096B">
        <w:rPr>
          <w:rFonts w:ascii="Times New Roman" w:hAnsi="Times New Roman"/>
          <w:color w:val="000000"/>
          <w:sz w:val="28"/>
          <w:szCs w:val="28"/>
        </w:rPr>
        <w:t xml:space="preserve">Уже второй год подряд </w:t>
      </w:r>
      <w:r w:rsidR="000E5866">
        <w:rPr>
          <w:rFonts w:ascii="Times New Roman" w:hAnsi="Times New Roman"/>
          <w:color w:val="000000"/>
          <w:sz w:val="28"/>
          <w:szCs w:val="28"/>
        </w:rPr>
        <w:t>в план работы включ</w:t>
      </w:r>
      <w:r w:rsidR="009B096B">
        <w:rPr>
          <w:rFonts w:ascii="Times New Roman" w:hAnsi="Times New Roman"/>
          <w:color w:val="000000"/>
          <w:sz w:val="28"/>
          <w:szCs w:val="28"/>
        </w:rPr>
        <w:t xml:space="preserve">аются </w:t>
      </w:r>
      <w:r w:rsidR="000E5866">
        <w:rPr>
          <w:rFonts w:ascii="Times New Roman" w:hAnsi="Times New Roman"/>
          <w:color w:val="000000"/>
          <w:sz w:val="28"/>
          <w:szCs w:val="28"/>
        </w:rPr>
        <w:t>мероприятия с Контрольно-счетной палатой Томской области.</w:t>
      </w:r>
    </w:p>
    <w:p w14:paraId="08719D87" w14:textId="7CD1E3B0" w:rsidR="0000596F" w:rsidRDefault="0000596F" w:rsidP="000059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Исполнение плана 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позволило провести контрольные и экспертно-аналитические мероприятия в различных сферах деятельности органов </w:t>
      </w:r>
      <w:r>
        <w:rPr>
          <w:rFonts w:ascii="Times New Roman" w:hAnsi="Times New Roman"/>
          <w:color w:val="000000"/>
          <w:sz w:val="28"/>
          <w:szCs w:val="28"/>
        </w:rPr>
        <w:t>местного самоуправления,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муниципальных учреждений</w:t>
      </w:r>
      <w:r w:rsidRPr="00E92754">
        <w:rPr>
          <w:rFonts w:ascii="Times New Roman" w:hAnsi="Times New Roman"/>
          <w:color w:val="000000"/>
          <w:sz w:val="28"/>
          <w:szCs w:val="28"/>
        </w:rPr>
        <w:t>, выявить нарушения нормативных правовых ак</w:t>
      </w:r>
      <w:r>
        <w:rPr>
          <w:rFonts w:ascii="Times New Roman" w:hAnsi="Times New Roman"/>
          <w:color w:val="000000"/>
          <w:sz w:val="28"/>
          <w:szCs w:val="28"/>
        </w:rPr>
        <w:t>тов, нарушения и недостатки при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распоряжении и использовании бюджетных средств</w:t>
      </w:r>
      <w:r w:rsidR="007B61DE" w:rsidRPr="007B61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61DE">
        <w:rPr>
          <w:rFonts w:ascii="Times New Roman" w:hAnsi="Times New Roman"/>
          <w:color w:val="000000"/>
          <w:sz w:val="28"/>
          <w:szCs w:val="28"/>
        </w:rPr>
        <w:t>и муниципального имущества</w:t>
      </w:r>
      <w:r w:rsidRPr="00E92754">
        <w:rPr>
          <w:rFonts w:ascii="Times New Roman" w:hAnsi="Times New Roman"/>
          <w:color w:val="000000"/>
          <w:sz w:val="28"/>
          <w:szCs w:val="28"/>
        </w:rPr>
        <w:t>, а также принять необходимые меры для устранения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как самих нарушений, так и причин и условий, способствовавших их совершению.</w:t>
      </w:r>
    </w:p>
    <w:p w14:paraId="357ED3A9" w14:textId="77777777" w:rsidR="00FE48F5" w:rsidRDefault="0000596F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Задачей</w:t>
      </w:r>
      <w:r>
        <w:rPr>
          <w:rFonts w:ascii="Times New Roman" w:hAnsi="Times New Roman"/>
          <w:color w:val="000000"/>
          <w:sz w:val="28"/>
          <w:szCs w:val="28"/>
        </w:rPr>
        <w:t xml:space="preserve"> и направлением деятельности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палаты является совершенствование бюджетного процесса, влияние на эффективность использования общественных ресурсов – бюджетных средств и муниципальной собственности, а также – профилактика нарушений</w:t>
      </w:r>
      <w:r w:rsidR="000E5866">
        <w:rPr>
          <w:rFonts w:ascii="Times New Roman" w:hAnsi="Times New Roman"/>
          <w:color w:val="000000"/>
          <w:sz w:val="28"/>
          <w:szCs w:val="28"/>
        </w:rPr>
        <w:t>.</w:t>
      </w:r>
      <w:r w:rsidR="00FE48F5" w:rsidRPr="00FE48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CA56958" w14:textId="1A687C8C" w:rsidR="00FE48F5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своей деятельности Палата охватывает широкий круг вопросов, важных как для муниципального образования «Колпашевский район», так и для общества в целом. Контроль законности использования бюджетных средств особенно актуален на фоне реализации борьбы с коррупцией, провозглашенной на государственном уровне. Наличие контрольно-счетных органов является одной из гарантий повышения общественного благосостояния, финансового оздоровления общества в целом.</w:t>
      </w:r>
    </w:p>
    <w:p w14:paraId="20C73328" w14:textId="21F9DDBA" w:rsidR="00FE48F5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 xml:space="preserve">В рамках каждого контрольного и экспертно-аналитического мероприятия анализировалось соблюдение требований законодательства в </w:t>
      </w:r>
      <w:r>
        <w:rPr>
          <w:rFonts w:ascii="Times New Roman" w:hAnsi="Times New Roman"/>
          <w:color w:val="000000"/>
          <w:sz w:val="28"/>
          <w:szCs w:val="28"/>
        </w:rPr>
        <w:t xml:space="preserve">сфере бюджетных правоотношений. </w:t>
      </w:r>
      <w:r w:rsidRPr="00E92754">
        <w:rPr>
          <w:rFonts w:ascii="Times New Roman" w:hAnsi="Times New Roman"/>
          <w:color w:val="000000"/>
          <w:sz w:val="28"/>
          <w:szCs w:val="28"/>
        </w:rPr>
        <w:t>Изучение нормативных актов в практике их применения позволяло выявлять их пробелы и несогласованность, оценивать полноту регламентации деятельности о</w:t>
      </w:r>
      <w:r>
        <w:rPr>
          <w:rFonts w:ascii="Times New Roman" w:hAnsi="Times New Roman"/>
          <w:color w:val="000000"/>
          <w:sz w:val="28"/>
          <w:szCs w:val="28"/>
        </w:rPr>
        <w:t xml:space="preserve">рганов местного самоуправления и </w:t>
      </w:r>
      <w:r w:rsidRPr="00E92754">
        <w:rPr>
          <w:rFonts w:ascii="Times New Roman" w:hAnsi="Times New Roman"/>
          <w:color w:val="000000"/>
          <w:sz w:val="28"/>
          <w:szCs w:val="28"/>
        </w:rPr>
        <w:t>учреждений различных организационно - правовых форм.</w:t>
      </w:r>
    </w:p>
    <w:p w14:paraId="15024573" w14:textId="77777777" w:rsidR="00FE48F5" w:rsidRPr="00E92754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87E23">
        <w:rPr>
          <w:rFonts w:ascii="Times New Roman" w:hAnsi="Times New Roman"/>
          <w:sz w:val="28"/>
          <w:szCs w:val="28"/>
        </w:rPr>
        <w:t xml:space="preserve">роведенные контрольные и экспертно-аналитические </w:t>
      </w:r>
      <w:r>
        <w:rPr>
          <w:rFonts w:ascii="Times New Roman" w:hAnsi="Times New Roman"/>
          <w:sz w:val="28"/>
          <w:szCs w:val="28"/>
        </w:rPr>
        <w:t xml:space="preserve">мероприятия были ориентированы </w:t>
      </w:r>
      <w:r w:rsidRPr="00E87E23">
        <w:rPr>
          <w:rFonts w:ascii="Times New Roman" w:hAnsi="Times New Roman"/>
          <w:sz w:val="28"/>
          <w:szCs w:val="28"/>
        </w:rPr>
        <w:t>на оказание практической помощи объектам проверок в части организации правильного ведения бухгалтерского учета, соблюдения требований федерального, регионального законодательства, муниципальных правовых актов при расходовании бюджетных средств, организации закупок товаров, работ и услуг для муниципальных нужд, принятия управленческих решений.</w:t>
      </w:r>
    </w:p>
    <w:p w14:paraId="132EFDEF" w14:textId="77777777" w:rsidR="00FE48F5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В соответствии со статьями 157, 268.1 Бюджетного кодекса РФ, частью 2 статьи 9 Федерального закона № 6-ФЗ, ч</w:t>
      </w:r>
      <w:r>
        <w:rPr>
          <w:rFonts w:ascii="Times New Roman" w:hAnsi="Times New Roman"/>
          <w:color w:val="000000"/>
          <w:sz w:val="28"/>
          <w:szCs w:val="28"/>
        </w:rPr>
        <w:t xml:space="preserve">астью 1 статьи 4 Положения </w:t>
      </w:r>
      <w:r w:rsidRPr="00E92754">
        <w:rPr>
          <w:rFonts w:ascii="Times New Roman" w:hAnsi="Times New Roman"/>
          <w:color w:val="000000"/>
          <w:sz w:val="28"/>
          <w:szCs w:val="28"/>
        </w:rPr>
        <w:t>на Палату возложены следующие основные полномочия:</w:t>
      </w:r>
    </w:p>
    <w:p w14:paraId="0CD0734C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9211"/>
      <w:r w:rsidRPr="00920EEA">
        <w:rPr>
          <w:rFonts w:ascii="Times New Roman" w:hAnsi="Times New Roman"/>
          <w:color w:val="000000"/>
          <w:sz w:val="28"/>
          <w:szCs w:val="28"/>
        </w:rPr>
        <w:lastRenderedPageBreak/>
        <w:t xml:space="preserve">1) организация и осуществление контроля за законностью и эффективностью использования средств бюджета муниципального образования «Колпашевский район» (далее </w:t>
      </w:r>
      <w:r>
        <w:rPr>
          <w:rFonts w:ascii="Times New Roman" w:hAnsi="Times New Roman"/>
          <w:color w:val="000000"/>
          <w:sz w:val="28"/>
          <w:szCs w:val="28"/>
        </w:rPr>
        <w:t>- местный</w:t>
      </w:r>
      <w:r w:rsidRPr="00920EEA">
        <w:rPr>
          <w:rFonts w:ascii="Times New Roman" w:hAnsi="Times New Roman"/>
          <w:color w:val="000000"/>
          <w:sz w:val="28"/>
          <w:szCs w:val="28"/>
        </w:rPr>
        <w:t xml:space="preserve"> бюджет), а также иных средств в случаях, предусмотренных законодательством Российской Федерации;</w:t>
      </w:r>
    </w:p>
    <w:p w14:paraId="33E3EA4D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14:paraId="49A04E95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3) внешняя проверка годового отчета об исполнении местного бюджета;</w:t>
      </w:r>
    </w:p>
    <w:p w14:paraId="25F39654" w14:textId="77777777" w:rsidR="00FE48F5" w:rsidRPr="00920EEA" w:rsidRDefault="00FE48F5" w:rsidP="00FE48F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аудит в сфере закупок);</w:t>
      </w:r>
    </w:p>
    <w:p w14:paraId="0CDAD316" w14:textId="77777777" w:rsidR="00FE48F5" w:rsidRPr="00920EEA" w:rsidRDefault="00FE48F5" w:rsidP="00FE48F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5) оценка эффективности формирования собственности муниципального образования «Колпашевский район»,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41E099CE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собственности муниципального образования «Колпашевский район»;</w:t>
      </w:r>
    </w:p>
    <w:p w14:paraId="6079511F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 «Колпашевский район»,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 муниципального образования «Колпашевский район»;</w:t>
      </w:r>
    </w:p>
    <w:p w14:paraId="2929F192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8) анализ и мониторинг бюджетного процесса в муниципальном образовании «Колпашевский район»,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492549AD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 в Думу Колпашевского района и Г</w:t>
      </w:r>
      <w:r w:rsidRPr="00920EEA">
        <w:rPr>
          <w:rFonts w:ascii="Times New Roman" w:hAnsi="Times New Roman"/>
          <w:color w:val="000000"/>
          <w:sz w:val="28"/>
          <w:szCs w:val="28"/>
        </w:rPr>
        <w:t>лаве Колпашевского района;</w:t>
      </w:r>
    </w:p>
    <w:p w14:paraId="3688514F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lastRenderedPageBreak/>
        <w:t>10) осуществление контроля за состоянием муниципального внутреннего и внешнего долга муниципального образования «Колпашевский район»;</w:t>
      </w:r>
    </w:p>
    <w:p w14:paraId="26A406E9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11) оценка реализуемости, рисков и результатов достижения целей социально-экономического развития муниципального образования «Колпашевский район», предусмотренных документами стратегического планирования муниципального образования «Колпашевский район», в пределах компетенции Счетной палаты;</w:t>
      </w:r>
    </w:p>
    <w:p w14:paraId="7DA9EFDC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7B63B53E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13) контроль за законностью и эффективностью использования средств местного бюджета муниципального образования «Колпашевский район», поступивших в бюджеты поселений, входящих в состав муниципального образования «Колпашевский район»;</w:t>
      </w:r>
    </w:p>
    <w:p w14:paraId="3B2D0223" w14:textId="77777777" w:rsidR="00FE48F5" w:rsidRPr="00920EEA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0EEA">
        <w:rPr>
          <w:rFonts w:ascii="Times New Roman" w:hAnsi="Times New Roman"/>
          <w:color w:val="000000"/>
          <w:sz w:val="28"/>
          <w:szCs w:val="28"/>
        </w:rPr>
        <w:t>14) иные полномочия в сфере внешнего муниципального финансового контроля, установленные федеральными законами, законами Томской области, Уставом Колпашевского района и решениями Думы Колпашевского района.</w:t>
      </w:r>
    </w:p>
    <w:p w14:paraId="48B7C0DF" w14:textId="77777777" w:rsidR="00FE48F5" w:rsidRPr="00920EEA" w:rsidRDefault="00FE48F5" w:rsidP="00FE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Счё</w:t>
      </w:r>
      <w:r w:rsidRPr="00920EEA">
        <w:rPr>
          <w:rFonts w:ascii="Times New Roman" w:hAnsi="Times New Roman"/>
          <w:sz w:val="28"/>
          <w:szCs w:val="28"/>
        </w:rPr>
        <w:t>тная палата осуществляет полномочия контрольно-счетных органов поселений по осуществлению внешнего муни</w:t>
      </w:r>
      <w:r>
        <w:rPr>
          <w:rFonts w:ascii="Times New Roman" w:hAnsi="Times New Roman"/>
          <w:sz w:val="28"/>
          <w:szCs w:val="28"/>
        </w:rPr>
        <w:t xml:space="preserve">ципального финансового контроля </w:t>
      </w:r>
      <w:r w:rsidRPr="00920EEA">
        <w:rPr>
          <w:rFonts w:ascii="Times New Roman" w:hAnsi="Times New Roman"/>
          <w:sz w:val="28"/>
          <w:szCs w:val="28"/>
        </w:rPr>
        <w:t>в соответствии с соглашениями</w:t>
      </w:r>
      <w:r w:rsidRPr="00920EEA">
        <w:rPr>
          <w:rFonts w:ascii="Times New Roman" w:hAnsi="Times New Roman"/>
          <w:color w:val="000000"/>
          <w:sz w:val="28"/>
          <w:szCs w:val="28"/>
        </w:rPr>
        <w:t xml:space="preserve"> о передаче контрольно-счетному органу муниципального образования «Колпашевский район» полномочий </w:t>
      </w:r>
      <w:r w:rsidRPr="00920EEA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920EEA">
        <w:rPr>
          <w:rFonts w:ascii="Times New Roman" w:hAnsi="Times New Roman"/>
          <w:color w:val="000000"/>
          <w:sz w:val="28"/>
          <w:szCs w:val="28"/>
        </w:rPr>
        <w:t>онтрольно-счетного органа поселения по осуществлению внешнего муниципального финансового контроля</w:t>
      </w:r>
      <w:r w:rsidRPr="00920EEA">
        <w:rPr>
          <w:rFonts w:ascii="Times New Roman" w:hAnsi="Times New Roman"/>
          <w:sz w:val="28"/>
          <w:szCs w:val="28"/>
        </w:rPr>
        <w:t>, заключенными Думой Колпашевского района с Советами поселений.</w:t>
      </w:r>
    </w:p>
    <w:bookmarkEnd w:id="0"/>
    <w:p w14:paraId="4C6F01C7" w14:textId="0743268B" w:rsidR="00FE48F5" w:rsidRPr="00E92754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E92754">
        <w:rPr>
          <w:rFonts w:ascii="Times New Roman" w:hAnsi="Times New Roman"/>
          <w:color w:val="000000"/>
          <w:sz w:val="28"/>
          <w:szCs w:val="28"/>
        </w:rPr>
        <w:t>огласно Соглашениям о передаче</w:t>
      </w:r>
      <w:r>
        <w:rPr>
          <w:rFonts w:ascii="Times New Roman" w:hAnsi="Times New Roman"/>
          <w:color w:val="000000"/>
          <w:sz w:val="28"/>
          <w:szCs w:val="28"/>
        </w:rPr>
        <w:t xml:space="preserve">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палате Колпашевского района полномочий конт</w:t>
      </w:r>
      <w:r>
        <w:rPr>
          <w:rFonts w:ascii="Times New Roman" w:hAnsi="Times New Roman"/>
          <w:color w:val="000000"/>
          <w:sz w:val="28"/>
          <w:szCs w:val="28"/>
        </w:rPr>
        <w:t>рольно-счетного органа поселений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план работы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палаты ежегодно включаютс</w:t>
      </w:r>
      <w:r>
        <w:rPr>
          <w:rFonts w:ascii="Times New Roman" w:hAnsi="Times New Roman"/>
          <w:color w:val="000000"/>
          <w:sz w:val="28"/>
          <w:szCs w:val="28"/>
        </w:rPr>
        <w:t>я внешняя проверка годового отчё</w:t>
      </w:r>
      <w:r w:rsidRPr="00E92754">
        <w:rPr>
          <w:rFonts w:ascii="Times New Roman" w:hAnsi="Times New Roman"/>
          <w:color w:val="000000"/>
          <w:sz w:val="28"/>
          <w:szCs w:val="28"/>
        </w:rPr>
        <w:t>та</w:t>
      </w:r>
      <w:r>
        <w:rPr>
          <w:rFonts w:ascii="Times New Roman" w:hAnsi="Times New Roman"/>
          <w:color w:val="000000"/>
          <w:sz w:val="28"/>
          <w:szCs w:val="28"/>
        </w:rPr>
        <w:t xml:space="preserve"> об исполнении бюджета поселений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и эксп</w:t>
      </w:r>
      <w:r>
        <w:rPr>
          <w:rFonts w:ascii="Times New Roman" w:hAnsi="Times New Roman"/>
          <w:color w:val="000000"/>
          <w:sz w:val="28"/>
          <w:szCs w:val="28"/>
        </w:rPr>
        <w:t>ертиза проекта бюджета поселений</w:t>
      </w:r>
      <w:r w:rsidRPr="00E92754">
        <w:rPr>
          <w:rFonts w:ascii="Times New Roman" w:hAnsi="Times New Roman"/>
          <w:color w:val="000000"/>
          <w:sz w:val="28"/>
          <w:szCs w:val="28"/>
        </w:rPr>
        <w:t>, а также контрольные или экспертно-</w:t>
      </w:r>
      <w:r>
        <w:rPr>
          <w:rFonts w:ascii="Times New Roman" w:hAnsi="Times New Roman"/>
          <w:color w:val="000000"/>
          <w:sz w:val="28"/>
          <w:szCs w:val="28"/>
        </w:rPr>
        <w:t>аналитические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мероприятия по поручениям Советов поселений, утверждаемых соответствующими решениями.</w:t>
      </w:r>
    </w:p>
    <w:p w14:paraId="403F0B4D" w14:textId="77777777" w:rsidR="005F01A1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AB320A">
        <w:rPr>
          <w:rFonts w:ascii="Times New Roman" w:hAnsi="Times New Roman"/>
          <w:color w:val="000000"/>
          <w:sz w:val="28"/>
          <w:szCs w:val="28"/>
        </w:rPr>
        <w:t>5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год </w:t>
      </w:r>
      <w:r>
        <w:rPr>
          <w:rFonts w:ascii="Times New Roman" w:hAnsi="Times New Roman"/>
          <w:color w:val="000000"/>
          <w:sz w:val="28"/>
          <w:szCs w:val="28"/>
        </w:rPr>
        <w:t>утверждены поручения для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палаты</w:t>
      </w:r>
      <w:r w:rsidR="005F01A1">
        <w:rPr>
          <w:rFonts w:ascii="Times New Roman" w:hAnsi="Times New Roman"/>
          <w:color w:val="000000"/>
          <w:sz w:val="28"/>
          <w:szCs w:val="28"/>
        </w:rPr>
        <w:t>:</w:t>
      </w:r>
    </w:p>
    <w:p w14:paraId="7CFD20A8" w14:textId="1461687A" w:rsidR="00FE48F5" w:rsidRDefault="005F01A1" w:rsidP="005F01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E48F5" w:rsidRPr="00E92754">
        <w:rPr>
          <w:rFonts w:ascii="Times New Roman" w:hAnsi="Times New Roman"/>
          <w:color w:val="000000"/>
          <w:sz w:val="28"/>
          <w:szCs w:val="28"/>
        </w:rPr>
        <w:t xml:space="preserve"> Советом Колпашевского городского поселения, предусматривающ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FE48F5" w:rsidRPr="00E92754">
        <w:rPr>
          <w:rFonts w:ascii="Times New Roman" w:hAnsi="Times New Roman"/>
          <w:color w:val="000000"/>
          <w:sz w:val="28"/>
          <w:szCs w:val="28"/>
        </w:rPr>
        <w:t xml:space="preserve">е проведение </w:t>
      </w:r>
      <w:r w:rsidR="00FE48F5">
        <w:rPr>
          <w:rFonts w:ascii="Times New Roman" w:hAnsi="Times New Roman"/>
          <w:color w:val="000000"/>
          <w:sz w:val="28"/>
          <w:szCs w:val="28"/>
        </w:rPr>
        <w:t xml:space="preserve">одного </w:t>
      </w:r>
      <w:r w:rsidR="00FE48F5" w:rsidRPr="00E92754">
        <w:rPr>
          <w:rFonts w:ascii="Times New Roman" w:hAnsi="Times New Roman"/>
          <w:color w:val="000000"/>
          <w:sz w:val="28"/>
          <w:szCs w:val="28"/>
        </w:rPr>
        <w:t>к</w:t>
      </w:r>
      <w:r w:rsidR="00FE48F5">
        <w:rPr>
          <w:rFonts w:ascii="Times New Roman" w:hAnsi="Times New Roman"/>
          <w:color w:val="000000"/>
          <w:sz w:val="28"/>
          <w:szCs w:val="28"/>
        </w:rPr>
        <w:t>онтрольного мероприятия</w:t>
      </w:r>
      <w:r>
        <w:rPr>
          <w:rFonts w:ascii="Times New Roman" w:hAnsi="Times New Roman"/>
          <w:color w:val="000000"/>
          <w:sz w:val="28"/>
          <w:szCs w:val="28"/>
        </w:rPr>
        <w:t xml:space="preserve"> на тему «П</w:t>
      </w:r>
      <w:r w:rsidR="00FE48F5">
        <w:rPr>
          <w:rFonts w:ascii="Times New Roman" w:hAnsi="Times New Roman"/>
          <w:color w:val="000000"/>
          <w:sz w:val="28"/>
          <w:szCs w:val="28"/>
        </w:rPr>
        <w:t xml:space="preserve">роверка </w:t>
      </w:r>
      <w:r w:rsidR="00AB320A">
        <w:rPr>
          <w:rFonts w:ascii="Times New Roman" w:hAnsi="Times New Roman"/>
          <w:color w:val="000000"/>
          <w:sz w:val="28"/>
          <w:szCs w:val="28"/>
        </w:rPr>
        <w:t>эффективности и результативности использования средств бюджета муниципального образования «Колпашевское городское поселение», направленных на реализацию муниципальной программы «Обеспечение бесперебойного функционирования сетей освещения на период 2024-2028г.г.»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D038BC5" w14:textId="02B27F76" w:rsidR="005F01A1" w:rsidRDefault="005F01A1" w:rsidP="005F01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Советом Саровского сельского поселения, предусматривающее проведение одного контрольного мероприятия на тему: «Анализ поступлений в доходную часть бюджета доходов от сдачи в аренду имущества,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находящегося в собственности муниципального образования «Саровское сельское поселение»</w:t>
      </w:r>
      <w:r w:rsidR="00FF507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3E12620" w14:textId="7BE84250" w:rsidR="005F01A1" w:rsidRDefault="005F01A1" w:rsidP="005F01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81BF0">
        <w:rPr>
          <w:rFonts w:ascii="Times New Roman" w:hAnsi="Times New Roman"/>
          <w:color w:val="000000"/>
          <w:sz w:val="28"/>
          <w:szCs w:val="28"/>
        </w:rPr>
        <w:t>Советом Новоселовского сельского поселения, предусматривающее проведение одного экспертно-аналитического мероприятия на тему «Анализ эффективного использования средств субсидии юридическими лицами, индивидуальными предпринимателями, а также физическими лицами-производителям товаров, работ, услуг в целях финансового обеспечения затрат (в рамках соглашения о предоставлении муниципальному унитарному предприятию «</w:t>
      </w:r>
      <w:proofErr w:type="spellStart"/>
      <w:r w:rsidR="00781BF0">
        <w:rPr>
          <w:rFonts w:ascii="Times New Roman" w:hAnsi="Times New Roman"/>
          <w:color w:val="000000"/>
          <w:sz w:val="28"/>
          <w:szCs w:val="28"/>
        </w:rPr>
        <w:t>Дальсервис</w:t>
      </w:r>
      <w:proofErr w:type="spellEnd"/>
      <w:r w:rsidR="00781BF0">
        <w:rPr>
          <w:rFonts w:ascii="Times New Roman" w:hAnsi="Times New Roman"/>
          <w:color w:val="000000"/>
          <w:sz w:val="28"/>
          <w:szCs w:val="28"/>
        </w:rPr>
        <w:t>» из бюджета муниципального образования «Новоселовское сельское поселение» субсидии на организацию теплоснабжения) в 2024 году из бюджета МО «Новоселовское сельское поселение»</w:t>
      </w:r>
      <w:r w:rsidR="00FF507C">
        <w:rPr>
          <w:rFonts w:ascii="Times New Roman" w:hAnsi="Times New Roman"/>
          <w:color w:val="000000"/>
          <w:sz w:val="28"/>
          <w:szCs w:val="28"/>
        </w:rPr>
        <w:t>»</w:t>
      </w:r>
      <w:r w:rsidR="00781BF0">
        <w:rPr>
          <w:rFonts w:ascii="Times New Roman" w:hAnsi="Times New Roman"/>
          <w:color w:val="000000"/>
          <w:sz w:val="28"/>
          <w:szCs w:val="28"/>
        </w:rPr>
        <w:t>.</w:t>
      </w:r>
    </w:p>
    <w:p w14:paraId="2A95D5B0" w14:textId="1FF52368" w:rsidR="00FE48F5" w:rsidRDefault="00FE48F5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 xml:space="preserve">Решением Думы Колпашевского района от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AB320A">
        <w:rPr>
          <w:rFonts w:ascii="Times New Roman" w:hAnsi="Times New Roman"/>
          <w:color w:val="000000"/>
          <w:sz w:val="28"/>
          <w:szCs w:val="28"/>
        </w:rPr>
        <w:t>6.12.2024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AB320A">
        <w:rPr>
          <w:rFonts w:ascii="Times New Roman" w:hAnsi="Times New Roman"/>
          <w:color w:val="000000"/>
          <w:sz w:val="28"/>
          <w:szCs w:val="28"/>
        </w:rPr>
        <w:t>151</w:t>
      </w:r>
      <w:r>
        <w:rPr>
          <w:rFonts w:ascii="Times New Roman" w:hAnsi="Times New Roman"/>
          <w:color w:val="000000"/>
          <w:sz w:val="28"/>
          <w:szCs w:val="28"/>
        </w:rPr>
        <w:t xml:space="preserve"> «Об утверждении поручений для Счётной палаты Колпашевского района на 202</w:t>
      </w:r>
      <w:r w:rsidR="00AB320A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год» утвержден</w:t>
      </w:r>
      <w:r w:rsidR="000E69C7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F53C67">
        <w:rPr>
          <w:rFonts w:ascii="Times New Roman" w:hAnsi="Times New Roman"/>
          <w:color w:val="000000"/>
          <w:sz w:val="28"/>
          <w:szCs w:val="28"/>
        </w:rPr>
        <w:t>два контрольных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мероприяти</w:t>
      </w:r>
      <w:r w:rsidR="00F53C67">
        <w:rPr>
          <w:rFonts w:ascii="Times New Roman" w:hAnsi="Times New Roman"/>
          <w:color w:val="000000"/>
          <w:sz w:val="28"/>
          <w:szCs w:val="28"/>
        </w:rPr>
        <w:t>я</w:t>
      </w:r>
      <w:r w:rsidR="005F01A1">
        <w:rPr>
          <w:rFonts w:ascii="Times New Roman" w:hAnsi="Times New Roman"/>
          <w:color w:val="000000"/>
          <w:sz w:val="28"/>
          <w:szCs w:val="28"/>
        </w:rPr>
        <w:t xml:space="preserve"> и одно экспертно-аналитическое</w:t>
      </w:r>
      <w:r w:rsidR="00FF507C">
        <w:rPr>
          <w:rFonts w:ascii="Times New Roman" w:hAnsi="Times New Roman"/>
          <w:color w:val="000000"/>
          <w:sz w:val="28"/>
          <w:szCs w:val="28"/>
        </w:rPr>
        <w:t xml:space="preserve"> мероприятие</w:t>
      </w:r>
      <w:r w:rsidRPr="00702D57">
        <w:rPr>
          <w:rFonts w:ascii="Times New Roman" w:hAnsi="Times New Roman"/>
          <w:color w:val="000000"/>
          <w:sz w:val="28"/>
          <w:szCs w:val="28"/>
        </w:rPr>
        <w:t>:</w:t>
      </w:r>
    </w:p>
    <w:p w14:paraId="258EF98A" w14:textId="145618A5" w:rsidR="00F035A4" w:rsidRDefault="000E69C7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035A4">
        <w:rPr>
          <w:rFonts w:ascii="Times New Roman" w:hAnsi="Times New Roman"/>
          <w:color w:val="000000"/>
          <w:sz w:val="28"/>
          <w:szCs w:val="28"/>
        </w:rPr>
        <w:t>п</w:t>
      </w:r>
      <w:r w:rsidR="00F53C67">
        <w:rPr>
          <w:rFonts w:ascii="Times New Roman" w:hAnsi="Times New Roman"/>
          <w:color w:val="000000"/>
          <w:sz w:val="28"/>
          <w:szCs w:val="28"/>
        </w:rPr>
        <w:t xml:space="preserve">роверка законности и эффективности использования бюджетных средств на оплату труда, включая стимулирующие выплаты, а также бюджетных средств на выплату денежной компенсации расходов на оплату стоимости проезда и провоза багажа в пределах Российской Федерации к месту </w:t>
      </w:r>
      <w:r w:rsidR="00F035A4">
        <w:rPr>
          <w:rFonts w:ascii="Times New Roman" w:hAnsi="Times New Roman"/>
          <w:color w:val="000000"/>
          <w:sz w:val="28"/>
          <w:szCs w:val="28"/>
        </w:rPr>
        <w:t>использования отпуска и обратно</w:t>
      </w:r>
      <w:r w:rsidR="00C53C09">
        <w:rPr>
          <w:rFonts w:ascii="Times New Roman" w:hAnsi="Times New Roman"/>
          <w:color w:val="000000"/>
          <w:sz w:val="28"/>
          <w:szCs w:val="28"/>
        </w:rPr>
        <w:t xml:space="preserve"> в МБУ «Библиотека»</w:t>
      </w:r>
      <w:r w:rsidR="00F035A4">
        <w:rPr>
          <w:rFonts w:ascii="Times New Roman" w:hAnsi="Times New Roman"/>
          <w:color w:val="000000"/>
          <w:sz w:val="28"/>
          <w:szCs w:val="28"/>
        </w:rPr>
        <w:t>;</w:t>
      </w:r>
    </w:p>
    <w:p w14:paraId="3A3EC854" w14:textId="34096165" w:rsidR="000E69C7" w:rsidRDefault="00F035A4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проверка</w:t>
      </w:r>
      <w:r w:rsidR="00F53C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01A1">
        <w:rPr>
          <w:rFonts w:ascii="Times New Roman" w:hAnsi="Times New Roman"/>
          <w:color w:val="000000"/>
          <w:sz w:val="28"/>
          <w:szCs w:val="28"/>
        </w:rPr>
        <w:t>целевого и эффективного использования иного межбюджетного трансферта, выделенного бюджету муниципального образования «Колпашевское городское поселение» на организацию транспортного облуживания населения Колпашевского городского поселения автомобильным транспортом;</w:t>
      </w:r>
    </w:p>
    <w:p w14:paraId="66EA2167" w14:textId="7EE472F0" w:rsidR="005F01A1" w:rsidRDefault="005F01A1" w:rsidP="00FE48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 использования средств иных межбюджетных трансфертов, выделенных бюджет</w:t>
      </w:r>
      <w:r w:rsidR="00781BF0">
        <w:rPr>
          <w:rFonts w:ascii="Times New Roman" w:hAnsi="Times New Roman"/>
          <w:color w:val="000000"/>
          <w:sz w:val="28"/>
          <w:szCs w:val="28"/>
        </w:rPr>
        <w:t>у муниципального образования «Саровское сельское поселение».</w:t>
      </w:r>
    </w:p>
    <w:p w14:paraId="19369718" w14:textId="3F4E5492" w:rsidR="000E69C7" w:rsidRDefault="00781BF0" w:rsidP="00781B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в План работы было включено проведение одного параллельного контрольного мероприятия и одного совместного экспертно-аналитического мероприятия с Контрольно-счетной палатой Томской области.</w:t>
      </w:r>
    </w:p>
    <w:p w14:paraId="3A79C406" w14:textId="77777777" w:rsidR="00D045F5" w:rsidRDefault="00071CB6" w:rsidP="00071C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1CB6">
        <w:rPr>
          <w:rFonts w:ascii="Times New Roman" w:hAnsi="Times New Roman"/>
          <w:color w:val="000000"/>
          <w:sz w:val="28"/>
          <w:szCs w:val="28"/>
        </w:rPr>
        <w:t>Все запланированные контрольные мероприятия исполнены и завершены в отчётном году.</w:t>
      </w:r>
    </w:p>
    <w:p w14:paraId="452CE0B8" w14:textId="7CE00DAE" w:rsidR="00071CB6" w:rsidRDefault="00071CB6" w:rsidP="00071C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1CB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7C64350" w14:textId="5646585D" w:rsidR="00D045F5" w:rsidRPr="00E92754" w:rsidRDefault="00D045F5" w:rsidP="00D045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2754">
        <w:rPr>
          <w:rFonts w:ascii="Times New Roman" w:hAnsi="Times New Roman"/>
          <w:b/>
          <w:color w:val="000000"/>
          <w:sz w:val="28"/>
          <w:szCs w:val="28"/>
        </w:rPr>
        <w:t>2. Контрольная и экспертно-аналитическая деятельность</w:t>
      </w:r>
    </w:p>
    <w:p w14:paraId="2C111208" w14:textId="51766039" w:rsidR="00D045F5" w:rsidRPr="00E92754" w:rsidRDefault="00D045F5" w:rsidP="00D045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Счё</w:t>
      </w:r>
      <w:r w:rsidRPr="00E92754">
        <w:rPr>
          <w:rFonts w:ascii="Times New Roman" w:hAnsi="Times New Roman"/>
          <w:b/>
          <w:color w:val="000000"/>
          <w:sz w:val="28"/>
          <w:szCs w:val="28"/>
        </w:rPr>
        <w:t>тной палаты в 20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781BF0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E92754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14:paraId="25ED78B3" w14:textId="77777777" w:rsidR="00D045F5" w:rsidRPr="00405E7C" w:rsidRDefault="00D045F5" w:rsidP="00D045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23C42EC" w14:textId="06D271A5" w:rsidR="00D045F5" w:rsidRDefault="00D045F5" w:rsidP="00D045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отчё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тном периоде </w:t>
      </w:r>
      <w:r>
        <w:rPr>
          <w:rFonts w:ascii="Times New Roman" w:hAnsi="Times New Roman"/>
          <w:color w:val="000000"/>
          <w:sz w:val="28"/>
          <w:szCs w:val="28"/>
        </w:rPr>
        <w:t>Счё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тной палатой проведено и завершено </w:t>
      </w:r>
      <w:r w:rsidR="000A28A1">
        <w:rPr>
          <w:rFonts w:ascii="Times New Roman" w:hAnsi="Times New Roman"/>
          <w:color w:val="000000"/>
          <w:sz w:val="28"/>
          <w:szCs w:val="28"/>
        </w:rPr>
        <w:t>60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E92754">
        <w:rPr>
          <w:rFonts w:ascii="Times New Roman" w:hAnsi="Times New Roman"/>
          <w:color w:val="000000"/>
          <w:sz w:val="28"/>
          <w:szCs w:val="28"/>
        </w:rPr>
        <w:t>, в том числе:</w:t>
      </w:r>
    </w:p>
    <w:p w14:paraId="06DF1B9D" w14:textId="3DF8A218" w:rsidR="00D045F5" w:rsidRPr="00E92754" w:rsidRDefault="000A28A1" w:rsidP="00D045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D045F5" w:rsidRPr="00E92754">
        <w:rPr>
          <w:rFonts w:ascii="Times New Roman" w:hAnsi="Times New Roman"/>
          <w:color w:val="000000"/>
          <w:sz w:val="28"/>
          <w:szCs w:val="28"/>
        </w:rPr>
        <w:t xml:space="preserve"> контрольных мероприяти</w:t>
      </w:r>
      <w:r w:rsidR="00D045F5">
        <w:rPr>
          <w:rFonts w:ascii="Times New Roman" w:hAnsi="Times New Roman"/>
          <w:color w:val="000000"/>
          <w:sz w:val="28"/>
          <w:szCs w:val="28"/>
        </w:rPr>
        <w:t>я (</w:t>
      </w:r>
      <w:r>
        <w:rPr>
          <w:rFonts w:ascii="Times New Roman" w:hAnsi="Times New Roman"/>
          <w:color w:val="000000"/>
          <w:sz w:val="28"/>
          <w:szCs w:val="28"/>
        </w:rPr>
        <w:t>8,3</w:t>
      </w:r>
      <w:r w:rsidR="00D045F5">
        <w:rPr>
          <w:rFonts w:ascii="Times New Roman" w:hAnsi="Times New Roman"/>
          <w:color w:val="000000"/>
          <w:sz w:val="28"/>
          <w:szCs w:val="28"/>
        </w:rPr>
        <w:t>%)</w:t>
      </w:r>
      <w:r w:rsidR="00D045F5" w:rsidRPr="00E9275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045F5">
        <w:rPr>
          <w:rFonts w:ascii="Times New Roman" w:hAnsi="Times New Roman"/>
          <w:color w:val="000000"/>
          <w:sz w:val="28"/>
          <w:szCs w:val="28"/>
        </w:rPr>
        <w:t>из них</w:t>
      </w:r>
      <w:r w:rsidR="00D045F5" w:rsidRPr="00E927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D045F5">
        <w:rPr>
          <w:rFonts w:ascii="Times New Roman" w:hAnsi="Times New Roman"/>
          <w:color w:val="000000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D045F5" w:rsidRPr="00E92754">
        <w:rPr>
          <w:rFonts w:ascii="Times New Roman" w:hAnsi="Times New Roman"/>
          <w:color w:val="000000"/>
          <w:sz w:val="28"/>
          <w:szCs w:val="28"/>
        </w:rPr>
        <w:t xml:space="preserve"> по поручени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="00D045F5" w:rsidRPr="00E92754">
        <w:rPr>
          <w:rFonts w:ascii="Times New Roman" w:hAnsi="Times New Roman"/>
          <w:color w:val="000000"/>
          <w:sz w:val="28"/>
          <w:szCs w:val="28"/>
        </w:rPr>
        <w:t xml:space="preserve"> Совета Колпашевского городского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Саровского сельского поселения</w:t>
      </w:r>
      <w:r w:rsidR="00D045F5" w:rsidRPr="00E92754">
        <w:rPr>
          <w:rFonts w:ascii="Times New Roman" w:hAnsi="Times New Roman"/>
          <w:color w:val="000000"/>
          <w:sz w:val="28"/>
          <w:szCs w:val="28"/>
        </w:rPr>
        <w:t>;</w:t>
      </w:r>
    </w:p>
    <w:p w14:paraId="383306F7" w14:textId="435038A2" w:rsidR="00D045F5" w:rsidRDefault="000A28A1" w:rsidP="00D045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55</w:t>
      </w:r>
      <w:r w:rsidR="00D045F5" w:rsidRPr="00E92754">
        <w:rPr>
          <w:rFonts w:ascii="Times New Roman" w:hAnsi="Times New Roman"/>
          <w:color w:val="000000"/>
          <w:sz w:val="28"/>
          <w:szCs w:val="28"/>
        </w:rPr>
        <w:t xml:space="preserve"> экспертно-аналитических мероприятий (</w:t>
      </w:r>
      <w:r w:rsidR="00D045F5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1,7</w:t>
      </w:r>
      <w:r w:rsidR="00D045F5" w:rsidRPr="00E92754">
        <w:rPr>
          <w:rFonts w:ascii="Times New Roman" w:hAnsi="Times New Roman"/>
          <w:color w:val="000000"/>
          <w:sz w:val="28"/>
          <w:szCs w:val="28"/>
        </w:rPr>
        <w:t>%).</w:t>
      </w:r>
    </w:p>
    <w:p w14:paraId="3361CEB0" w14:textId="77777777" w:rsidR="000A28A1" w:rsidRDefault="000A28A1" w:rsidP="00D045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2B9ACE" w14:textId="18A3205E" w:rsidR="000A28A1" w:rsidRPr="000A28A1" w:rsidRDefault="000A28A1" w:rsidP="000A28A1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A28A1">
        <w:rPr>
          <w:rFonts w:ascii="Times New Roman" w:hAnsi="Times New Roman"/>
          <w:b/>
          <w:bCs/>
          <w:color w:val="000000"/>
          <w:sz w:val="28"/>
          <w:szCs w:val="28"/>
        </w:rPr>
        <w:t>Объекты мероприятий внешнего муниципального финансового контроля</w:t>
      </w:r>
    </w:p>
    <w:p w14:paraId="4D14D849" w14:textId="2E1855B8" w:rsidR="00762EF3" w:rsidRDefault="00DC0661" w:rsidP="00DC06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228889043"/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762EF3">
        <w:rPr>
          <w:rFonts w:ascii="Times New Roman" w:hAnsi="Times New Roman"/>
          <w:color w:val="000000"/>
          <w:sz w:val="28"/>
          <w:szCs w:val="28"/>
        </w:rPr>
        <w:t>Счетной палатой Колпашевского района в 2025 году было проверено 16 подконтрольных объекта, попадающих под проверку Палаты, в том числе:</w:t>
      </w:r>
    </w:p>
    <w:p w14:paraId="451D6CEC" w14:textId="285E84AE" w:rsidR="000A28A1" w:rsidRDefault="000A28A1" w:rsidP="00D045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Дума Колпашевского района;</w:t>
      </w:r>
    </w:p>
    <w:p w14:paraId="6BDD5CBB" w14:textId="008A0646" w:rsidR="000A28A1" w:rsidRDefault="000A28A1" w:rsidP="00D045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Администрация Колпашевского района;</w:t>
      </w:r>
    </w:p>
    <w:p w14:paraId="4A1F6340" w14:textId="5DFB57EF" w:rsidR="000A28A1" w:rsidRDefault="000A28A1" w:rsidP="00D045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228889230"/>
      <w:r>
        <w:rPr>
          <w:rFonts w:ascii="Times New Roman" w:hAnsi="Times New Roman"/>
          <w:color w:val="000000"/>
          <w:sz w:val="28"/>
          <w:szCs w:val="28"/>
        </w:rPr>
        <w:t>•</w:t>
      </w:r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EF3">
        <w:rPr>
          <w:rFonts w:ascii="Times New Roman" w:hAnsi="Times New Roman"/>
          <w:color w:val="000000"/>
          <w:sz w:val="28"/>
          <w:szCs w:val="28"/>
        </w:rPr>
        <w:t>шесть администраций городского и сельских поселений;</w:t>
      </w:r>
    </w:p>
    <w:p w14:paraId="02147009" w14:textId="606D75AC" w:rsidR="00762EF3" w:rsidRDefault="00762EF3" w:rsidP="00D045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шесть Советов городского и сельских поселений;</w:t>
      </w:r>
    </w:p>
    <w:p w14:paraId="62482777" w14:textId="5D585444" w:rsidR="00762EF3" w:rsidRDefault="00762EF3" w:rsidP="00D045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МБУ «Библиотека»;</w:t>
      </w:r>
    </w:p>
    <w:p w14:paraId="20A59B6F" w14:textId="024B934C" w:rsidR="00762EF3" w:rsidRDefault="00762EF3" w:rsidP="00D045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МУП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Дальсервис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067C3772" w14:textId="6289A25B" w:rsidR="00CC1884" w:rsidRDefault="000C4C03" w:rsidP="006B4BE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1884">
        <w:rPr>
          <w:rFonts w:ascii="Times New Roman" w:hAnsi="Times New Roman"/>
          <w:color w:val="000000"/>
          <w:sz w:val="28"/>
          <w:szCs w:val="28"/>
        </w:rPr>
        <w:t xml:space="preserve">         Объем средств бюджета, проверенных при проведении контрольных мероприятий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1884">
        <w:rPr>
          <w:rFonts w:ascii="Times New Roman" w:hAnsi="Times New Roman"/>
          <w:color w:val="000000"/>
          <w:sz w:val="28"/>
          <w:szCs w:val="28"/>
        </w:rPr>
        <w:t xml:space="preserve">составил 169 810,15 </w:t>
      </w:r>
      <w:proofErr w:type="spellStart"/>
      <w:proofErr w:type="gramStart"/>
      <w:r w:rsidR="00CC1884">
        <w:rPr>
          <w:rFonts w:ascii="Times New Roman" w:hAnsi="Times New Roman"/>
          <w:color w:val="000000"/>
          <w:sz w:val="28"/>
          <w:szCs w:val="28"/>
        </w:rPr>
        <w:t>тыс.рублей</w:t>
      </w:r>
      <w:proofErr w:type="spellEnd"/>
      <w:proofErr w:type="gramEnd"/>
      <w:r w:rsidR="00CC1884">
        <w:rPr>
          <w:rFonts w:ascii="Times New Roman" w:hAnsi="Times New Roman"/>
          <w:color w:val="000000"/>
          <w:sz w:val="28"/>
          <w:szCs w:val="28"/>
        </w:rPr>
        <w:t>.</w:t>
      </w:r>
    </w:p>
    <w:p w14:paraId="00320369" w14:textId="627B7483" w:rsidR="006B4BEE" w:rsidRPr="006B4BEE" w:rsidRDefault="00EB2410" w:rsidP="006B4BE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6B4BEE" w:rsidRPr="000C4C03">
        <w:rPr>
          <w:rFonts w:ascii="Times New Roman" w:hAnsi="Times New Roman"/>
          <w:color w:val="000000"/>
          <w:sz w:val="28"/>
          <w:szCs w:val="28"/>
        </w:rPr>
        <w:t>Счётной палатой в 202</w:t>
      </w:r>
      <w:r w:rsidR="00DC0661">
        <w:rPr>
          <w:rFonts w:ascii="Times New Roman" w:hAnsi="Times New Roman"/>
          <w:color w:val="000000"/>
          <w:sz w:val="28"/>
          <w:szCs w:val="28"/>
        </w:rPr>
        <w:t>5</w:t>
      </w:r>
      <w:r w:rsidR="006B4BEE" w:rsidRPr="000C4C03">
        <w:rPr>
          <w:rFonts w:ascii="Times New Roman" w:hAnsi="Times New Roman"/>
          <w:color w:val="000000"/>
          <w:sz w:val="28"/>
          <w:szCs w:val="28"/>
        </w:rPr>
        <w:t xml:space="preserve"> году выявлены нарушения, допущенные объектами проверок - участниками бюджетного процесса при планировании и исполнении местного бюджета, а также при осуществлении финансово - хозяйственной деятельности, в том числе по результатам контрольных мероприятий на сумму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972564">
        <w:rPr>
          <w:rFonts w:ascii="Times New Roman" w:hAnsi="Times New Roman"/>
          <w:color w:val="000000"/>
          <w:sz w:val="28"/>
          <w:szCs w:val="28"/>
        </w:rPr>
        <w:t> </w:t>
      </w:r>
      <w:r w:rsidR="00665BFB">
        <w:rPr>
          <w:rFonts w:ascii="Times New Roman" w:hAnsi="Times New Roman"/>
          <w:color w:val="000000"/>
          <w:sz w:val="28"/>
          <w:szCs w:val="28"/>
        </w:rPr>
        <w:t>41</w:t>
      </w:r>
      <w:r w:rsidR="00972564">
        <w:rPr>
          <w:rFonts w:ascii="Times New Roman" w:hAnsi="Times New Roman"/>
          <w:color w:val="000000"/>
          <w:sz w:val="28"/>
          <w:szCs w:val="28"/>
        </w:rPr>
        <w:t>4,3</w:t>
      </w:r>
      <w:r w:rsidR="000C4C03" w:rsidRPr="000C4C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4BEE" w:rsidRPr="000C4C03">
        <w:rPr>
          <w:rFonts w:ascii="Times New Roman" w:hAnsi="Times New Roman"/>
          <w:color w:val="000000"/>
          <w:sz w:val="28"/>
          <w:szCs w:val="28"/>
        </w:rPr>
        <w:t xml:space="preserve">тыс. руб. и экспертно-аналитических мероприятий на сумму </w:t>
      </w:r>
      <w:r w:rsidR="00AA770B">
        <w:rPr>
          <w:rFonts w:ascii="Times New Roman" w:hAnsi="Times New Roman"/>
          <w:color w:val="000000"/>
          <w:sz w:val="28"/>
          <w:szCs w:val="28"/>
        </w:rPr>
        <w:t>11 633,8</w:t>
      </w:r>
      <w:r w:rsidR="000C4C03" w:rsidRPr="000C4C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4BEE" w:rsidRPr="000C4C03">
        <w:rPr>
          <w:rFonts w:ascii="Times New Roman" w:hAnsi="Times New Roman"/>
          <w:color w:val="000000"/>
          <w:sz w:val="28"/>
          <w:szCs w:val="28"/>
        </w:rPr>
        <w:t>тыс. руб.</w:t>
      </w:r>
      <w:r w:rsidR="006B4BEE" w:rsidRPr="006B4BEE">
        <w:rPr>
          <w:color w:val="000000"/>
        </w:rPr>
        <w:t xml:space="preserve"> </w:t>
      </w:r>
    </w:p>
    <w:p w14:paraId="19B97790" w14:textId="714CA6C7" w:rsidR="006B4BEE" w:rsidRPr="006B4BEE" w:rsidRDefault="006B4BEE" w:rsidP="006B4B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4BEE">
        <w:rPr>
          <w:rFonts w:ascii="Times New Roman" w:hAnsi="Times New Roman"/>
          <w:color w:val="000000"/>
          <w:sz w:val="28"/>
          <w:szCs w:val="28"/>
        </w:rPr>
        <w:t xml:space="preserve">Отчёты по результатам проведенных контрольных мероприятий, утвержденные председателем Счётной палаты, заключения и отчёты по результатам экспертно-аналитических мероприятий доведены для рассмотрения и принятия решений до Главы и Думы Колпашевского района, до Глав и Советов соответствующих поселений, входящих в состав Колпашевского района.                                                                                           </w:t>
      </w:r>
    </w:p>
    <w:p w14:paraId="7B2C8D6D" w14:textId="77777777" w:rsidR="006B4BEE" w:rsidRPr="006B4BEE" w:rsidRDefault="006B4BEE" w:rsidP="006B4B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4BEE">
        <w:rPr>
          <w:rFonts w:ascii="Times New Roman" w:hAnsi="Times New Roman"/>
          <w:color w:val="000000"/>
          <w:sz w:val="28"/>
          <w:szCs w:val="28"/>
        </w:rPr>
        <w:t>Информация по основным видам выявленных нарушений представлена в таблице № 1.</w:t>
      </w:r>
    </w:p>
    <w:p w14:paraId="773A8D0E" w14:textId="77777777" w:rsidR="006B4BEE" w:rsidRPr="006B4BEE" w:rsidRDefault="006B4BEE" w:rsidP="006B4BE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B4BE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Таблица № 1</w:t>
      </w:r>
    </w:p>
    <w:p w14:paraId="1C424B3F" w14:textId="7BA7EB12" w:rsidR="006B4BEE" w:rsidRPr="006B4BEE" w:rsidRDefault="006B4BEE" w:rsidP="00554A62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6B4BEE">
        <w:rPr>
          <w:rFonts w:ascii="Times New Roman" w:hAnsi="Times New Roman"/>
          <w:b/>
          <w:color w:val="000000"/>
        </w:rPr>
        <w:t>Анализ основных видов нарушений, выявленных Счётной палатой в период 202</w:t>
      </w:r>
      <w:r w:rsidR="00357068">
        <w:rPr>
          <w:rFonts w:ascii="Times New Roman" w:hAnsi="Times New Roman"/>
          <w:b/>
          <w:color w:val="000000"/>
        </w:rPr>
        <w:t>3</w:t>
      </w:r>
      <w:r w:rsidRPr="006B4BEE">
        <w:rPr>
          <w:rFonts w:ascii="Times New Roman" w:hAnsi="Times New Roman"/>
          <w:b/>
          <w:color w:val="000000"/>
        </w:rPr>
        <w:t xml:space="preserve"> - 202</w:t>
      </w:r>
      <w:r w:rsidR="00357068">
        <w:rPr>
          <w:rFonts w:ascii="Times New Roman" w:hAnsi="Times New Roman"/>
          <w:b/>
          <w:color w:val="000000"/>
        </w:rPr>
        <w:t>5</w:t>
      </w:r>
      <w:r w:rsidRPr="006B4BEE">
        <w:rPr>
          <w:rFonts w:ascii="Times New Roman" w:hAnsi="Times New Roman"/>
          <w:b/>
          <w:color w:val="000000"/>
        </w:rPr>
        <w:t xml:space="preserve"> годы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822"/>
        <w:gridCol w:w="1276"/>
        <w:gridCol w:w="850"/>
        <w:gridCol w:w="1276"/>
        <w:gridCol w:w="851"/>
        <w:gridCol w:w="1275"/>
        <w:gridCol w:w="738"/>
      </w:tblGrid>
      <w:tr w:rsidR="006B4BEE" w:rsidRPr="006B4BEE" w14:paraId="2062E5DD" w14:textId="77777777" w:rsidTr="00182009">
        <w:trPr>
          <w:trHeight w:val="2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7ECA" w14:textId="77777777" w:rsidR="006B4BEE" w:rsidRPr="006B4BEE" w:rsidRDefault="006B4BEE" w:rsidP="006B4B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Группа нарушений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C91F" w14:textId="28E6EFBB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357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9DE0" w14:textId="45BBD59B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357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7EA1" w14:textId="55CD57CB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357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C1AD" w14:textId="77777777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за период</w:t>
            </w:r>
          </w:p>
        </w:tc>
      </w:tr>
      <w:tr w:rsidR="006B4BEE" w:rsidRPr="006B4BEE" w14:paraId="2A4408EA" w14:textId="77777777" w:rsidTr="00182009">
        <w:trPr>
          <w:trHeight w:val="2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04DD" w14:textId="77777777" w:rsidR="006B4BEE" w:rsidRPr="006B4BEE" w:rsidRDefault="006B4BEE" w:rsidP="006B4B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40E5" w14:textId="77777777" w:rsidR="006B4BEE" w:rsidRPr="006B4BEE" w:rsidRDefault="006B4BEE" w:rsidP="006B4B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43EC" w14:textId="77777777" w:rsidR="006B4BEE" w:rsidRPr="006B4BEE" w:rsidRDefault="006B4BEE" w:rsidP="006B4B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6716" w14:textId="77777777" w:rsidR="006B4BEE" w:rsidRPr="006B4BEE" w:rsidRDefault="006B4BEE" w:rsidP="006B4B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933B" w14:textId="4F099453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357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– 202</w:t>
            </w:r>
            <w:r w:rsidR="00357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</w:tr>
      <w:tr w:rsidR="006B4BEE" w:rsidRPr="006B4BEE" w14:paraId="41655E1D" w14:textId="77777777" w:rsidTr="00182009">
        <w:trPr>
          <w:trHeight w:val="7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C19E" w14:textId="77777777" w:rsidR="006B4BEE" w:rsidRPr="006B4BEE" w:rsidRDefault="006B4BEE" w:rsidP="006B4B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7E3F" w14:textId="77777777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14:paraId="020E2B68" w14:textId="6DF407B3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нарушений,</w:t>
            </w:r>
            <w:r w:rsidR="001820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3D346" w14:textId="77777777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Доля,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21DD" w14:textId="77777777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14:paraId="6338E862" w14:textId="77777777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нарушений, 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F449" w14:textId="77777777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Доля,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5197" w14:textId="77777777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 нарушений,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C2C2" w14:textId="77777777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Доля,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4918" w14:textId="77777777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 нарушений, тыс.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F589" w14:textId="77777777" w:rsidR="006B4BEE" w:rsidRPr="006B4BEE" w:rsidRDefault="006B4BEE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Доля, %</w:t>
            </w:r>
          </w:p>
        </w:tc>
      </w:tr>
      <w:tr w:rsidR="006B4BEE" w:rsidRPr="006B4BEE" w14:paraId="7E4D65E9" w14:textId="77777777" w:rsidTr="00182009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541A" w14:textId="77777777" w:rsidR="006B4BEE" w:rsidRPr="006B4BEE" w:rsidRDefault="006B4BEE" w:rsidP="006B4B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color w:val="000000"/>
                <w:sz w:val="18"/>
                <w:szCs w:val="18"/>
              </w:rPr>
              <w:t>Нецелевое использование бюджетных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53EB" w14:textId="6496708B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3C7C" w14:textId="1B1E91F7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19EC" w14:textId="015439C7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210B" w14:textId="0C594FD8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6038" w14:textId="655AD267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F7D0" w14:textId="6DB88884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A8FD" w14:textId="29CCE70F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4B982" w14:textId="6C6A7AC2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B4BEE" w:rsidRPr="006B4BEE" w14:paraId="7428D77F" w14:textId="77777777" w:rsidTr="00182009">
        <w:trPr>
          <w:trHeight w:val="5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8E3E" w14:textId="77777777" w:rsidR="006B4BEE" w:rsidRPr="006B4BEE" w:rsidRDefault="006B4BEE" w:rsidP="006B4B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color w:val="000000"/>
                <w:sz w:val="18"/>
                <w:szCs w:val="18"/>
              </w:rPr>
              <w:t>Неэффективное использование бюджетных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ED04" w14:textId="45E50896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2 042,7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7C1D" w14:textId="787E3DD4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06DB" w14:textId="4A58658D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BA62" w14:textId="28937C76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FC43" w14:textId="35A5520C" w:rsidR="006B4BEE" w:rsidRPr="006B4BEE" w:rsidRDefault="00950368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1 390,3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698C" w14:textId="27EF4094" w:rsidR="006B4BEE" w:rsidRPr="006B4BEE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</w:t>
            </w:r>
            <w:r w:rsidR="002913E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01DE" w14:textId="20EEC81C" w:rsidR="006B4BEE" w:rsidRPr="006B4BEE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4 170,8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6B9A" w14:textId="1FCCB70F" w:rsidR="006B4BEE" w:rsidRPr="006B4BEE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10,7</w:t>
            </w:r>
          </w:p>
        </w:tc>
      </w:tr>
      <w:tr w:rsidR="006B4BEE" w:rsidRPr="006B4BEE" w14:paraId="03982A41" w14:textId="77777777" w:rsidTr="00182009">
        <w:trPr>
          <w:trHeight w:val="6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1A32" w14:textId="77777777" w:rsidR="006B4BEE" w:rsidRPr="006B4BEE" w:rsidRDefault="006B4BEE" w:rsidP="006B4B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color w:val="000000"/>
                <w:sz w:val="18"/>
                <w:szCs w:val="18"/>
              </w:rPr>
              <w:t>Неправомерное использование бюджетных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E220" w14:textId="1DFC8978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964,3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F065" w14:textId="68823B54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1574" w14:textId="2E8B4808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ED6EA" w14:textId="735C2E40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8556" w14:textId="4DEE82E3" w:rsidR="00BE47F1" w:rsidRPr="006B4BEE" w:rsidRDefault="00EB2410" w:rsidP="00EB24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2913E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DBCE" w14:textId="73BCE426" w:rsidR="006B4BEE" w:rsidRPr="006B4BEE" w:rsidRDefault="002913E5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4416" w14:textId="6F2BE41C" w:rsidR="006B4BEE" w:rsidRPr="006B4BEE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913E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2913E5">
              <w:rPr>
                <w:rFonts w:ascii="Times New Roman" w:hAnsi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A6BC" w14:textId="5B80A567" w:rsidR="006B4BEE" w:rsidRPr="006B4BEE" w:rsidRDefault="002913E5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</w:t>
            </w:r>
          </w:p>
        </w:tc>
      </w:tr>
      <w:tr w:rsidR="006B4BEE" w:rsidRPr="006B4BEE" w14:paraId="64C8C558" w14:textId="77777777" w:rsidTr="00182009">
        <w:trPr>
          <w:trHeight w:val="4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BCAD" w14:textId="77777777" w:rsidR="006B4BEE" w:rsidRPr="006B4BEE" w:rsidRDefault="006B4BEE" w:rsidP="006B4B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Нарушения бухгалтерского </w:t>
            </w:r>
            <w:r w:rsidRPr="006B4BE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(бюджетного) учета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3A79" w14:textId="0291B254" w:rsidR="006B4BEE" w:rsidRPr="00FD0C7B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4 732,0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1717" w14:textId="7B159868" w:rsidR="006B4BEE" w:rsidRPr="00FD0C7B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A8CBF" w14:textId="47089FB3" w:rsidR="006B4BEE" w:rsidRPr="00FD0C7B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1 760,5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487C" w14:textId="3C25F4E4" w:rsidR="006B4BEE" w:rsidRPr="00FD0C7B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B9BB" w14:textId="34A24419" w:rsidR="006B4BEE" w:rsidRPr="00FD0C7B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2 194,8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CF7FF" w14:textId="0C434FF5" w:rsidR="006B4BEE" w:rsidRPr="00FD0C7B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F344" w14:textId="64C839A1" w:rsidR="006B4BEE" w:rsidRPr="00FD0C7B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8 687,3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3479" w14:textId="1408A786" w:rsidR="006B4BEE" w:rsidRPr="00FD0C7B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</w:t>
            </w:r>
            <w:r w:rsidR="002913E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6B4BEE" w:rsidRPr="006B4BEE" w14:paraId="06C7FE58" w14:textId="77777777" w:rsidTr="00182009">
        <w:trPr>
          <w:trHeight w:val="4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B470" w14:textId="77777777" w:rsidR="006B4BEE" w:rsidRPr="006B4BEE" w:rsidRDefault="006B4BEE" w:rsidP="006B4B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Прочие нарушения и недостатки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DCA5" w14:textId="129C626F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7 096,8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A6302" w14:textId="709459FA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1EFE" w14:textId="757CD4F1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8 480,5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B2E4" w14:textId="00959153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ACA5" w14:textId="302D0DA5" w:rsidR="006B4BEE" w:rsidRPr="006B4BEE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9 014,8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0B49" w14:textId="211FA5A6" w:rsidR="006B4BEE" w:rsidRPr="006B4BEE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C517" w14:textId="00811333" w:rsidR="006B4BEE" w:rsidRPr="006B4BEE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24 592,1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C778" w14:textId="4386EF37" w:rsidR="006B4BEE" w:rsidRPr="006B4BEE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</w:t>
            </w:r>
            <w:r w:rsidR="002913E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6B4BEE" w:rsidRPr="006B4BEE" w14:paraId="786D2D75" w14:textId="77777777" w:rsidTr="00FD0C7B">
        <w:trPr>
          <w:trHeight w:val="2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2ED7" w14:textId="77777777" w:rsidR="006B4BEE" w:rsidRPr="006B4BEE" w:rsidRDefault="006B4BEE" w:rsidP="006B4B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B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C2C6" w14:textId="41033852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14 835,8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0982" w14:textId="1D5375CF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A96E" w14:textId="07B9694A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11 002,0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9556" w14:textId="6DD001CF" w:rsidR="006B4BEE" w:rsidRPr="006B4BEE" w:rsidRDefault="00FD0C7B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DCCE" w14:textId="222E7FDB" w:rsidR="00324ABE" w:rsidRPr="006B4BEE" w:rsidRDefault="00BE47F1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  <w:r w:rsidR="002913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048,1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0BF80" w14:textId="32035ED6" w:rsidR="006B4BEE" w:rsidRPr="006B4BEE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F644B" w14:textId="0A4466D9" w:rsidR="006B4BEE" w:rsidRPr="006B4BEE" w:rsidRDefault="00EB2410" w:rsidP="00324A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</w:t>
            </w:r>
            <w:r w:rsidR="002913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2913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8670" w14:textId="3FAEDBA2" w:rsidR="006B4BEE" w:rsidRPr="006B4BEE" w:rsidRDefault="00EB2410" w:rsidP="006B4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14:paraId="0F75D93E" w14:textId="77777777" w:rsidR="006B4BEE" w:rsidRPr="006B4BEE" w:rsidRDefault="006B4BEE" w:rsidP="00B6526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94E6D3B" w14:textId="70FBC70C" w:rsidR="00B6526F" w:rsidRPr="00182009" w:rsidRDefault="00B6526F" w:rsidP="00B652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2009">
        <w:rPr>
          <w:rFonts w:ascii="Times New Roman" w:hAnsi="Times New Roman"/>
          <w:color w:val="000000"/>
          <w:sz w:val="28"/>
          <w:szCs w:val="28"/>
        </w:rPr>
        <w:t>Основные показатели деятельности Счётной палаты за 202</w:t>
      </w:r>
      <w:r w:rsidR="00906EF6">
        <w:rPr>
          <w:rFonts w:ascii="Times New Roman" w:hAnsi="Times New Roman"/>
          <w:color w:val="000000"/>
          <w:sz w:val="28"/>
          <w:szCs w:val="28"/>
        </w:rPr>
        <w:t>5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год, в том числе за период 202</w:t>
      </w:r>
      <w:r w:rsidR="00906EF6">
        <w:rPr>
          <w:rFonts w:ascii="Times New Roman" w:hAnsi="Times New Roman"/>
          <w:color w:val="000000"/>
          <w:sz w:val="28"/>
          <w:szCs w:val="28"/>
        </w:rPr>
        <w:t>3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- 202</w:t>
      </w:r>
      <w:r w:rsidR="00906EF6">
        <w:rPr>
          <w:rFonts w:ascii="Times New Roman" w:hAnsi="Times New Roman"/>
          <w:color w:val="000000"/>
          <w:sz w:val="28"/>
          <w:szCs w:val="28"/>
        </w:rPr>
        <w:t>5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годы, представлены в приложении № 1 к настоящему отчёту.</w:t>
      </w:r>
    </w:p>
    <w:p w14:paraId="10C140E9" w14:textId="1A170145" w:rsidR="00B6526F" w:rsidRPr="00182009" w:rsidRDefault="00B6526F" w:rsidP="00B652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2009">
        <w:rPr>
          <w:rFonts w:ascii="Times New Roman" w:hAnsi="Times New Roman"/>
          <w:color w:val="000000"/>
          <w:sz w:val="28"/>
          <w:szCs w:val="28"/>
        </w:rPr>
        <w:t>По результатам контрольных и экспертно-аналитических мероприятий, проведенных Счётной палатой в период 202</w:t>
      </w:r>
      <w:r w:rsidR="00906EF6">
        <w:rPr>
          <w:rFonts w:ascii="Times New Roman" w:hAnsi="Times New Roman"/>
          <w:color w:val="000000"/>
          <w:sz w:val="28"/>
          <w:szCs w:val="28"/>
        </w:rPr>
        <w:t>3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="00906EF6">
        <w:rPr>
          <w:rFonts w:ascii="Times New Roman" w:hAnsi="Times New Roman"/>
          <w:color w:val="000000"/>
          <w:sz w:val="28"/>
          <w:szCs w:val="28"/>
        </w:rPr>
        <w:t>5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годы, устранено нарушений на сумму </w:t>
      </w:r>
      <w:r w:rsidR="00320D28">
        <w:rPr>
          <w:rFonts w:ascii="Times New Roman" w:hAnsi="Times New Roman"/>
          <w:color w:val="000000"/>
          <w:sz w:val="28"/>
          <w:szCs w:val="28"/>
        </w:rPr>
        <w:t xml:space="preserve">343,9 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тыс. руб. (или </w:t>
      </w:r>
      <w:r w:rsidR="00320D28">
        <w:rPr>
          <w:rFonts w:ascii="Times New Roman" w:hAnsi="Times New Roman"/>
          <w:color w:val="000000"/>
          <w:sz w:val="28"/>
          <w:szCs w:val="28"/>
        </w:rPr>
        <w:t>0</w:t>
      </w:r>
      <w:r w:rsidR="007D1E09">
        <w:rPr>
          <w:rFonts w:ascii="Times New Roman" w:hAnsi="Times New Roman"/>
          <w:color w:val="000000"/>
          <w:sz w:val="28"/>
          <w:szCs w:val="28"/>
        </w:rPr>
        <w:t>,</w:t>
      </w:r>
      <w:r w:rsidR="00320D28">
        <w:rPr>
          <w:rFonts w:ascii="Times New Roman" w:hAnsi="Times New Roman"/>
          <w:color w:val="000000"/>
          <w:sz w:val="28"/>
          <w:szCs w:val="28"/>
        </w:rPr>
        <w:t>9</w:t>
      </w:r>
      <w:r w:rsidR="00B060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% от общего объема выявленных Счётной палатой нарушений за указанный период – </w:t>
      </w:r>
      <w:r w:rsidR="00AA770B">
        <w:rPr>
          <w:rFonts w:ascii="Times New Roman" w:hAnsi="Times New Roman"/>
          <w:color w:val="000000"/>
          <w:sz w:val="28"/>
          <w:szCs w:val="28"/>
        </w:rPr>
        <w:t>38</w:t>
      </w:r>
      <w:r w:rsidR="00972564">
        <w:rPr>
          <w:rFonts w:ascii="Times New Roman" w:hAnsi="Times New Roman"/>
          <w:color w:val="000000"/>
          <w:sz w:val="28"/>
          <w:szCs w:val="28"/>
        </w:rPr>
        <w:t> </w:t>
      </w:r>
      <w:r w:rsidR="00AA770B">
        <w:rPr>
          <w:rFonts w:ascii="Times New Roman" w:hAnsi="Times New Roman"/>
          <w:color w:val="000000"/>
          <w:sz w:val="28"/>
          <w:szCs w:val="28"/>
        </w:rPr>
        <w:t>8</w:t>
      </w:r>
      <w:r w:rsidR="00972564">
        <w:rPr>
          <w:rFonts w:ascii="Times New Roman" w:hAnsi="Times New Roman"/>
          <w:color w:val="000000"/>
          <w:sz w:val="28"/>
          <w:szCs w:val="28"/>
        </w:rPr>
        <w:t xml:space="preserve">85,9 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тыс. руб.). </w:t>
      </w:r>
    </w:p>
    <w:p w14:paraId="60E3E144" w14:textId="2D6B0F73" w:rsidR="00B6526F" w:rsidRDefault="00B6526F" w:rsidP="00B652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2009">
        <w:rPr>
          <w:rFonts w:ascii="Times New Roman" w:hAnsi="Times New Roman"/>
          <w:color w:val="000000"/>
          <w:sz w:val="28"/>
          <w:szCs w:val="28"/>
        </w:rPr>
        <w:t>По результатам контрольных мероприятий, проведенных Счётной палатой в период 202</w:t>
      </w:r>
      <w:r w:rsidR="00AA770B">
        <w:rPr>
          <w:rFonts w:ascii="Times New Roman" w:hAnsi="Times New Roman"/>
          <w:color w:val="000000"/>
          <w:sz w:val="28"/>
          <w:szCs w:val="28"/>
        </w:rPr>
        <w:t>3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="00AA770B">
        <w:rPr>
          <w:rFonts w:ascii="Times New Roman" w:hAnsi="Times New Roman"/>
          <w:color w:val="000000"/>
          <w:sz w:val="28"/>
          <w:szCs w:val="28"/>
        </w:rPr>
        <w:t>5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годы, возмещено средств в бюджеты различных уровней </w:t>
      </w:r>
      <w:r w:rsidR="00972564">
        <w:rPr>
          <w:rFonts w:ascii="Times New Roman" w:hAnsi="Times New Roman"/>
          <w:color w:val="000000"/>
          <w:sz w:val="28"/>
          <w:szCs w:val="28"/>
        </w:rPr>
        <w:t>219,1</w:t>
      </w:r>
      <w:r w:rsidR="00182009" w:rsidRPr="001820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009">
        <w:rPr>
          <w:rFonts w:ascii="Times New Roman" w:hAnsi="Times New Roman"/>
          <w:color w:val="000000"/>
          <w:sz w:val="28"/>
          <w:szCs w:val="28"/>
        </w:rPr>
        <w:t>тыс. руб., в том числе в 202</w:t>
      </w:r>
      <w:r w:rsidR="00AA770B">
        <w:rPr>
          <w:rFonts w:ascii="Times New Roman" w:hAnsi="Times New Roman"/>
          <w:color w:val="000000"/>
          <w:sz w:val="28"/>
          <w:szCs w:val="28"/>
        </w:rPr>
        <w:t>5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AA770B">
        <w:rPr>
          <w:rFonts w:ascii="Times New Roman" w:hAnsi="Times New Roman"/>
          <w:color w:val="000000"/>
          <w:sz w:val="28"/>
          <w:szCs w:val="28"/>
        </w:rPr>
        <w:t>23,2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2009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182009">
        <w:rPr>
          <w:rFonts w:ascii="Times New Roman" w:hAnsi="Times New Roman"/>
          <w:color w:val="000000"/>
          <w:sz w:val="28"/>
          <w:szCs w:val="28"/>
        </w:rPr>
        <w:t>.</w:t>
      </w:r>
    </w:p>
    <w:p w14:paraId="1236D95B" w14:textId="77777777" w:rsidR="00B6526F" w:rsidRPr="00E92754" w:rsidRDefault="00B6526F" w:rsidP="00B652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69FF96" w14:textId="77777777" w:rsidR="00B6526F" w:rsidRPr="00E92754" w:rsidRDefault="00B6526F" w:rsidP="00B652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2754">
        <w:rPr>
          <w:rFonts w:ascii="Times New Roman" w:hAnsi="Times New Roman"/>
          <w:b/>
          <w:color w:val="000000"/>
          <w:sz w:val="28"/>
          <w:szCs w:val="28"/>
        </w:rPr>
        <w:t>2.1. Контрольные мероприятия</w:t>
      </w:r>
    </w:p>
    <w:p w14:paraId="2A7ED5B1" w14:textId="77777777" w:rsidR="00B6526F" w:rsidRPr="00405E7C" w:rsidRDefault="00B6526F" w:rsidP="00B6526F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5ED8A39E" w14:textId="1D1CEA86" w:rsidR="00B6526F" w:rsidRPr="00E92754" w:rsidRDefault="00B6526F" w:rsidP="00B652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 xml:space="preserve">В рамках контрольной </w:t>
      </w:r>
      <w:r>
        <w:rPr>
          <w:rFonts w:ascii="Times New Roman" w:hAnsi="Times New Roman"/>
          <w:color w:val="000000"/>
          <w:sz w:val="28"/>
          <w:szCs w:val="28"/>
        </w:rPr>
        <w:t>деятельности Счё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тной палатой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проведено и 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завершено </w:t>
      </w:r>
      <w:r w:rsidR="00667992">
        <w:rPr>
          <w:rFonts w:ascii="Times New Roman" w:hAnsi="Times New Roman"/>
          <w:color w:val="000000"/>
          <w:sz w:val="28"/>
          <w:szCs w:val="28"/>
        </w:rPr>
        <w:t>5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мероприяти</w:t>
      </w:r>
      <w:r w:rsidR="00667992">
        <w:rPr>
          <w:rFonts w:ascii="Times New Roman" w:hAnsi="Times New Roman"/>
          <w:color w:val="000000"/>
          <w:sz w:val="28"/>
          <w:szCs w:val="28"/>
        </w:rPr>
        <w:t>й</w:t>
      </w:r>
      <w:r w:rsidR="00824A90">
        <w:rPr>
          <w:rFonts w:ascii="Times New Roman" w:hAnsi="Times New Roman"/>
          <w:color w:val="000000"/>
          <w:sz w:val="28"/>
          <w:szCs w:val="28"/>
        </w:rPr>
        <w:t>.</w:t>
      </w:r>
    </w:p>
    <w:p w14:paraId="27F401B5" w14:textId="61DA9B82" w:rsidR="00B6526F" w:rsidRDefault="00B6526F" w:rsidP="00B652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Контрольными мероприятиями было охвачено</w:t>
      </w:r>
      <w:r w:rsidR="00824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64A6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объект</w:t>
      </w:r>
      <w:r w:rsidR="00824A90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контрольных мероприятий</w:t>
      </w:r>
      <w:r w:rsidRPr="00E92754">
        <w:rPr>
          <w:rFonts w:ascii="Times New Roman" w:hAnsi="Times New Roman"/>
          <w:color w:val="000000"/>
          <w:sz w:val="28"/>
          <w:szCs w:val="28"/>
        </w:rPr>
        <w:t>, в том числе:</w:t>
      </w:r>
    </w:p>
    <w:p w14:paraId="56F23A32" w14:textId="0A83C845" w:rsidR="00B6526F" w:rsidRPr="00ED3F9D" w:rsidRDefault="00824A90" w:rsidP="00B6526F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B6526F" w:rsidRPr="00ED3F9D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="00B6526F" w:rsidRPr="00ED3F9D">
        <w:rPr>
          <w:rFonts w:ascii="Times New Roman" w:hAnsi="Times New Roman"/>
          <w:color w:val="000000"/>
          <w:sz w:val="28"/>
          <w:szCs w:val="28"/>
        </w:rPr>
        <w:t xml:space="preserve"> местного самоуправления;</w:t>
      </w:r>
    </w:p>
    <w:p w14:paraId="47F39432" w14:textId="0B89A3A2" w:rsidR="00D150E2" w:rsidRDefault="00D150E2" w:rsidP="00B6526F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муниципальное бюджетное учреждение (МБ</w:t>
      </w:r>
      <w:r w:rsidR="0052232B">
        <w:rPr>
          <w:rFonts w:ascii="Times New Roman" w:hAnsi="Times New Roman"/>
          <w:color w:val="000000"/>
          <w:sz w:val="28"/>
          <w:szCs w:val="28"/>
        </w:rPr>
        <w:t>У «Библиотека»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5531FDA8" w14:textId="7E5E081E" w:rsidR="00B6526F" w:rsidRPr="00182009" w:rsidRDefault="007D1E09" w:rsidP="00B6526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B6526F" w:rsidRPr="00575EA6">
        <w:rPr>
          <w:rFonts w:ascii="Times New Roman" w:hAnsi="Times New Roman"/>
          <w:color w:val="000000"/>
          <w:sz w:val="28"/>
          <w:szCs w:val="28"/>
        </w:rPr>
        <w:t xml:space="preserve">Информация об объеме проверенных средств, о суммах выявленных нарушений и недостатков в разрезе объектов и тем контрольных мероприятий отражена в </w:t>
      </w:r>
      <w:r w:rsidR="00B6526F" w:rsidRPr="00182009">
        <w:rPr>
          <w:rFonts w:ascii="Times New Roman" w:hAnsi="Times New Roman"/>
          <w:color w:val="000000"/>
          <w:sz w:val="28"/>
          <w:szCs w:val="28"/>
        </w:rPr>
        <w:t>приложении № 2 к настоящему отчёту.</w:t>
      </w:r>
    </w:p>
    <w:p w14:paraId="79DCEFB8" w14:textId="0A5EEDF2" w:rsidR="00B6526F" w:rsidRPr="00182009" w:rsidRDefault="00B6526F" w:rsidP="00B652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2009">
        <w:rPr>
          <w:rFonts w:ascii="Times New Roman" w:hAnsi="Times New Roman"/>
          <w:color w:val="000000"/>
          <w:sz w:val="28"/>
          <w:szCs w:val="28"/>
        </w:rPr>
        <w:t>Объём проверенных в 202</w:t>
      </w:r>
      <w:r w:rsidR="007764A6">
        <w:rPr>
          <w:rFonts w:ascii="Times New Roman" w:hAnsi="Times New Roman"/>
          <w:color w:val="000000"/>
          <w:sz w:val="28"/>
          <w:szCs w:val="28"/>
        </w:rPr>
        <w:t>5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году бюджетных средств составил                    </w:t>
      </w:r>
      <w:r w:rsidR="007764A6">
        <w:rPr>
          <w:rFonts w:ascii="Times New Roman" w:hAnsi="Times New Roman"/>
          <w:color w:val="000000"/>
          <w:sz w:val="28"/>
          <w:szCs w:val="28"/>
        </w:rPr>
        <w:t>169 810,15</w:t>
      </w:r>
      <w:r w:rsidR="00182009" w:rsidRPr="001820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009">
        <w:rPr>
          <w:rFonts w:ascii="Times New Roman" w:hAnsi="Times New Roman"/>
          <w:color w:val="000000"/>
          <w:sz w:val="28"/>
          <w:szCs w:val="28"/>
        </w:rPr>
        <w:t>тыс. руб. (в 202</w:t>
      </w:r>
      <w:r w:rsidR="007764A6">
        <w:rPr>
          <w:rFonts w:ascii="Times New Roman" w:hAnsi="Times New Roman"/>
          <w:color w:val="000000"/>
          <w:sz w:val="28"/>
          <w:szCs w:val="28"/>
        </w:rPr>
        <w:t>4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7764A6">
        <w:rPr>
          <w:rFonts w:ascii="Times New Roman" w:hAnsi="Times New Roman"/>
          <w:color w:val="000000"/>
          <w:sz w:val="28"/>
          <w:szCs w:val="28"/>
        </w:rPr>
        <w:t>37 579,74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тыс. руб.)</w:t>
      </w:r>
    </w:p>
    <w:p w14:paraId="2BE54FF2" w14:textId="208456A9" w:rsidR="00B6526F" w:rsidRPr="00182009" w:rsidRDefault="00B6526F" w:rsidP="00B652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2009">
        <w:rPr>
          <w:rFonts w:ascii="Times New Roman" w:hAnsi="Times New Roman"/>
          <w:color w:val="000000"/>
          <w:sz w:val="28"/>
          <w:szCs w:val="28"/>
        </w:rPr>
        <w:t>По результатам проведенных контрольных мероприятий выявлено</w:t>
      </w:r>
      <w:r w:rsidR="00182009" w:rsidRPr="001820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64A6">
        <w:rPr>
          <w:rFonts w:ascii="Times New Roman" w:hAnsi="Times New Roman"/>
          <w:color w:val="000000"/>
          <w:sz w:val="28"/>
          <w:szCs w:val="28"/>
        </w:rPr>
        <w:t>45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случа</w:t>
      </w:r>
      <w:r w:rsidR="00182009" w:rsidRPr="00182009">
        <w:rPr>
          <w:rFonts w:ascii="Times New Roman" w:hAnsi="Times New Roman"/>
          <w:color w:val="000000"/>
          <w:sz w:val="28"/>
          <w:szCs w:val="28"/>
        </w:rPr>
        <w:t>ев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нарушений действующего законодательства и иных недостатков в деятельности объектов контрольных мероприятий.</w:t>
      </w:r>
    </w:p>
    <w:p w14:paraId="1738B22F" w14:textId="69EACCF8" w:rsidR="00B6526F" w:rsidRPr="00E92754" w:rsidRDefault="00B6526F" w:rsidP="00B652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2009">
        <w:rPr>
          <w:rFonts w:ascii="Times New Roman" w:hAnsi="Times New Roman"/>
          <w:color w:val="000000"/>
          <w:sz w:val="28"/>
          <w:szCs w:val="28"/>
        </w:rPr>
        <w:t>Объём выявленных нарушений за 202</w:t>
      </w:r>
      <w:r w:rsidR="007764A6">
        <w:rPr>
          <w:rFonts w:ascii="Times New Roman" w:hAnsi="Times New Roman"/>
          <w:color w:val="000000"/>
          <w:sz w:val="28"/>
          <w:szCs w:val="28"/>
        </w:rPr>
        <w:t>5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год составил </w:t>
      </w:r>
      <w:r w:rsidR="007764A6">
        <w:rPr>
          <w:rFonts w:ascii="Times New Roman" w:hAnsi="Times New Roman"/>
          <w:color w:val="000000"/>
          <w:sz w:val="28"/>
          <w:szCs w:val="28"/>
        </w:rPr>
        <w:t>1</w:t>
      </w:r>
      <w:r w:rsidR="00972564">
        <w:rPr>
          <w:rFonts w:ascii="Times New Roman" w:hAnsi="Times New Roman"/>
          <w:color w:val="000000"/>
          <w:sz w:val="28"/>
          <w:szCs w:val="28"/>
        </w:rPr>
        <w:t> 414,3</w:t>
      </w:r>
      <w:r w:rsidR="007916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009">
        <w:rPr>
          <w:rFonts w:ascii="Times New Roman" w:hAnsi="Times New Roman"/>
          <w:color w:val="000000"/>
          <w:sz w:val="28"/>
          <w:szCs w:val="28"/>
        </w:rPr>
        <w:t>тыс. руб. (в 202</w:t>
      </w:r>
      <w:r w:rsidR="007764A6">
        <w:rPr>
          <w:rFonts w:ascii="Times New Roman" w:hAnsi="Times New Roman"/>
          <w:color w:val="000000"/>
          <w:sz w:val="28"/>
          <w:szCs w:val="28"/>
        </w:rPr>
        <w:t>4</w:t>
      </w:r>
      <w:r w:rsidRPr="00182009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7764A6">
        <w:rPr>
          <w:rFonts w:ascii="Times New Roman" w:hAnsi="Times New Roman"/>
          <w:color w:val="000000"/>
          <w:sz w:val="28"/>
          <w:szCs w:val="28"/>
        </w:rPr>
        <w:t>784,4</w:t>
      </w:r>
      <w:r w:rsidR="00182009" w:rsidRPr="001820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009">
        <w:rPr>
          <w:rFonts w:ascii="Times New Roman" w:hAnsi="Times New Roman"/>
          <w:color w:val="000000"/>
          <w:sz w:val="28"/>
          <w:szCs w:val="28"/>
        </w:rPr>
        <w:t>тыс. руб.).</w:t>
      </w:r>
    </w:p>
    <w:p w14:paraId="347B4C5A" w14:textId="1959948E" w:rsidR="00B6526F" w:rsidRDefault="00B6526F" w:rsidP="00535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Основны</w:t>
      </w:r>
      <w:r>
        <w:rPr>
          <w:rFonts w:ascii="Times New Roman" w:hAnsi="Times New Roman"/>
          <w:color w:val="000000"/>
          <w:sz w:val="28"/>
          <w:szCs w:val="28"/>
        </w:rPr>
        <w:t>е виды нарушений, выявленные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палатой по результатам контрольных мероприятий в период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7764A6">
        <w:rPr>
          <w:rFonts w:ascii="Times New Roman" w:hAnsi="Times New Roman"/>
          <w:color w:val="000000"/>
          <w:sz w:val="28"/>
          <w:szCs w:val="28"/>
        </w:rPr>
        <w:t>3</w:t>
      </w:r>
      <w:r w:rsidRPr="00E92754">
        <w:rPr>
          <w:rFonts w:ascii="Times New Roman" w:hAnsi="Times New Roman"/>
          <w:color w:val="000000"/>
          <w:sz w:val="28"/>
          <w:szCs w:val="28"/>
        </w:rPr>
        <w:t>-20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7764A6">
        <w:rPr>
          <w:rFonts w:ascii="Times New Roman" w:hAnsi="Times New Roman"/>
          <w:color w:val="000000"/>
          <w:sz w:val="28"/>
          <w:szCs w:val="28"/>
        </w:rPr>
        <w:t>5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годы</w:t>
      </w:r>
      <w:r>
        <w:rPr>
          <w:rFonts w:ascii="Times New Roman" w:hAnsi="Times New Roman"/>
          <w:color w:val="000000"/>
          <w:sz w:val="28"/>
          <w:szCs w:val="28"/>
        </w:rPr>
        <w:t>, отражены в таблице № 2.</w:t>
      </w:r>
    </w:p>
    <w:p w14:paraId="792CFAD9" w14:textId="77777777" w:rsidR="00B6526F" w:rsidRPr="008856EC" w:rsidRDefault="00B6526F" w:rsidP="00B6526F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8856EC">
        <w:rPr>
          <w:rFonts w:ascii="Times New Roman" w:hAnsi="Times New Roman"/>
          <w:color w:val="000000"/>
          <w:sz w:val="24"/>
          <w:szCs w:val="24"/>
        </w:rPr>
        <w:t>Таблица № 2</w:t>
      </w:r>
    </w:p>
    <w:p w14:paraId="4DA05516" w14:textId="77777777" w:rsidR="00B6526F" w:rsidRDefault="00B6526F" w:rsidP="00B6526F">
      <w:pPr>
        <w:spacing w:after="0" w:line="240" w:lineRule="auto"/>
        <w:ind w:left="-851" w:right="-284"/>
        <w:jc w:val="center"/>
        <w:rPr>
          <w:rFonts w:ascii="Times New Roman" w:hAnsi="Times New Roman"/>
          <w:b/>
          <w:color w:val="000000"/>
        </w:rPr>
      </w:pPr>
      <w:r w:rsidRPr="00405C8C">
        <w:rPr>
          <w:rFonts w:ascii="Times New Roman" w:hAnsi="Times New Roman"/>
          <w:b/>
          <w:color w:val="000000"/>
        </w:rPr>
        <w:t>Анализ основных видов нарушений, выявленных Счётной палатой</w:t>
      </w:r>
    </w:p>
    <w:p w14:paraId="1AED0962" w14:textId="12B7FA46" w:rsidR="00B6526F" w:rsidRDefault="00B6526F" w:rsidP="00B6526F">
      <w:pPr>
        <w:spacing w:after="0" w:line="240" w:lineRule="auto"/>
        <w:ind w:left="-851" w:right="-284"/>
        <w:jc w:val="center"/>
        <w:rPr>
          <w:rFonts w:ascii="Times New Roman" w:hAnsi="Times New Roman"/>
          <w:b/>
          <w:color w:val="000000"/>
        </w:rPr>
      </w:pPr>
      <w:r w:rsidRPr="00405C8C">
        <w:rPr>
          <w:rFonts w:ascii="Times New Roman" w:hAnsi="Times New Roman"/>
          <w:b/>
          <w:color w:val="000000"/>
        </w:rPr>
        <w:t>по результатам контрольных мероприятий в период 20</w:t>
      </w:r>
      <w:r>
        <w:rPr>
          <w:rFonts w:ascii="Times New Roman" w:hAnsi="Times New Roman"/>
          <w:b/>
          <w:color w:val="000000"/>
        </w:rPr>
        <w:t>2</w:t>
      </w:r>
      <w:r w:rsidR="007764A6">
        <w:rPr>
          <w:rFonts w:ascii="Times New Roman" w:hAnsi="Times New Roman"/>
          <w:b/>
          <w:color w:val="000000"/>
        </w:rPr>
        <w:t>3</w:t>
      </w:r>
      <w:r w:rsidRPr="00405C8C">
        <w:rPr>
          <w:rFonts w:ascii="Times New Roman" w:hAnsi="Times New Roman"/>
          <w:b/>
          <w:color w:val="000000"/>
        </w:rPr>
        <w:t>-202</w:t>
      </w:r>
      <w:r w:rsidR="007764A6">
        <w:rPr>
          <w:rFonts w:ascii="Times New Roman" w:hAnsi="Times New Roman"/>
          <w:b/>
          <w:color w:val="000000"/>
        </w:rPr>
        <w:t>5</w:t>
      </w:r>
      <w:r w:rsidRPr="00405C8C">
        <w:rPr>
          <w:rFonts w:ascii="Times New Roman" w:hAnsi="Times New Roman"/>
          <w:b/>
          <w:color w:val="000000"/>
        </w:rPr>
        <w:t xml:space="preserve"> годы</w:t>
      </w:r>
    </w:p>
    <w:p w14:paraId="128DA6A8" w14:textId="77777777" w:rsidR="00B6526F" w:rsidRPr="00575EA6" w:rsidRDefault="00B6526F" w:rsidP="00B6526F">
      <w:pPr>
        <w:spacing w:after="0" w:line="240" w:lineRule="auto"/>
        <w:ind w:left="-851" w:right="-284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850"/>
        <w:gridCol w:w="1276"/>
        <w:gridCol w:w="850"/>
        <w:gridCol w:w="1134"/>
        <w:gridCol w:w="851"/>
        <w:gridCol w:w="1134"/>
        <w:gridCol w:w="850"/>
      </w:tblGrid>
      <w:tr w:rsidR="00B6526F" w:rsidRPr="00E92754" w14:paraId="34126F44" w14:textId="77777777" w:rsidTr="00102A19">
        <w:trPr>
          <w:trHeight w:val="2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3B65" w14:textId="77777777" w:rsidR="00B6526F" w:rsidRPr="00B52B9A" w:rsidRDefault="00B6526F" w:rsidP="00102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Группа нарушений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6CA8" w14:textId="5B458613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  <w:r w:rsidR="00393B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3024" w14:textId="6196C46F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93B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9704" w14:textId="5D331522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93B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484D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за период</w:t>
            </w:r>
          </w:p>
        </w:tc>
      </w:tr>
      <w:tr w:rsidR="00B6526F" w:rsidRPr="00E92754" w14:paraId="086F7474" w14:textId="77777777" w:rsidTr="00102A19">
        <w:trPr>
          <w:trHeight w:val="2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4D82" w14:textId="77777777" w:rsidR="00B6526F" w:rsidRPr="00B52B9A" w:rsidRDefault="00B6526F" w:rsidP="00102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4AD8" w14:textId="77777777" w:rsidR="00B6526F" w:rsidRPr="00B52B9A" w:rsidRDefault="00B6526F" w:rsidP="00102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1968" w14:textId="77777777" w:rsidR="00B6526F" w:rsidRPr="00B52B9A" w:rsidRDefault="00B6526F" w:rsidP="00102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9BED" w14:textId="77777777" w:rsidR="00B6526F" w:rsidRPr="00B52B9A" w:rsidRDefault="00B6526F" w:rsidP="00102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915D" w14:textId="130D4BB3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93B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– 202</w:t>
            </w:r>
            <w:r w:rsidR="00393B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</w:tr>
      <w:tr w:rsidR="00B6526F" w:rsidRPr="00E92754" w14:paraId="138E2E72" w14:textId="77777777" w:rsidTr="00102A19">
        <w:trPr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4D8C" w14:textId="77777777" w:rsidR="00B6526F" w:rsidRPr="00B52B9A" w:rsidRDefault="00B6526F" w:rsidP="00102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D1AB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 нару-</w:t>
            </w:r>
          </w:p>
          <w:p w14:paraId="7B4276D7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шений</w:t>
            </w:r>
            <w:proofErr w:type="spellEnd"/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</w:p>
          <w:p w14:paraId="3FD6219F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4B2FF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Доля,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9922" w14:textId="77777777" w:rsidR="00B6526F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</w:p>
          <w:p w14:paraId="3C76858B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нару-</w:t>
            </w:r>
          </w:p>
          <w:p w14:paraId="29EDF752" w14:textId="77777777" w:rsidR="00B6526F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шений</w:t>
            </w:r>
            <w:proofErr w:type="spellEnd"/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</w:p>
          <w:p w14:paraId="2935C5C1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0431A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Доля,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AE296" w14:textId="77777777" w:rsidR="00B6526F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</w:p>
          <w:p w14:paraId="7DE3596C" w14:textId="77777777" w:rsidR="00B6526F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ару</w:t>
            </w:r>
          </w:p>
          <w:p w14:paraId="15EA88A3" w14:textId="77777777" w:rsidR="00B6526F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  <w:proofErr w:type="spellStart"/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шений</w:t>
            </w:r>
            <w:proofErr w:type="spellEnd"/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</w:p>
          <w:p w14:paraId="61888731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428F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Доля,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4709" w14:textId="77777777" w:rsidR="00B6526F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14:paraId="1C8EEB01" w14:textId="77777777" w:rsidR="00B6526F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нару-</w:t>
            </w:r>
            <w:proofErr w:type="spellStart"/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шений</w:t>
            </w:r>
            <w:proofErr w:type="spellEnd"/>
            <w:proofErr w:type="gramEnd"/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</w:p>
          <w:p w14:paraId="31DA4AD3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42BE" w14:textId="77777777" w:rsidR="00B6526F" w:rsidRPr="00B52B9A" w:rsidRDefault="00B6526F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Доля, %</w:t>
            </w:r>
          </w:p>
        </w:tc>
      </w:tr>
      <w:tr w:rsidR="00B6526F" w:rsidRPr="00E92754" w14:paraId="06F7EE35" w14:textId="77777777" w:rsidTr="00D150E2">
        <w:trPr>
          <w:trHeight w:val="4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8076" w14:textId="77777777" w:rsidR="00B6526F" w:rsidRPr="00B52B9A" w:rsidRDefault="00B6526F" w:rsidP="00102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color w:val="000000"/>
                <w:sz w:val="18"/>
                <w:szCs w:val="18"/>
              </w:rPr>
              <w:t>Нецелевое использование бюджетных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1FCA" w14:textId="6BFE0C0B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3198" w14:textId="79082F89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86A50" w14:textId="4771FAF5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4D97" w14:textId="2545562D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45B1F" w14:textId="27BF4F0F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86FC2" w14:textId="455919BD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2CFF" w14:textId="35EADD3E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07B9" w14:textId="0CAC1760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6526F" w:rsidRPr="00E92754" w14:paraId="13131DBA" w14:textId="77777777" w:rsidTr="00102A19">
        <w:trPr>
          <w:trHeight w:val="5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269A" w14:textId="77777777" w:rsidR="00B6526F" w:rsidRPr="00B52B9A" w:rsidRDefault="00B6526F" w:rsidP="00102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color w:val="000000"/>
                <w:sz w:val="18"/>
                <w:szCs w:val="18"/>
              </w:rPr>
              <w:t>Неэффективное использование бюджетных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E51C" w14:textId="54365156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1 831,6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287B" w14:textId="7DF414E7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D133" w14:textId="513DA7E2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45531" w14:textId="7E658DD8" w:rsidR="00B6526F" w:rsidRPr="00B52B9A" w:rsidRDefault="00393BE7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ED19" w14:textId="253CFB91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1 390,3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8D00C" w14:textId="118C0B52" w:rsidR="00B6526F" w:rsidRPr="00B52B9A" w:rsidRDefault="00665BFB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086B" w14:textId="00F20FA4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3 959,7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C338" w14:textId="531CEC4C" w:rsidR="00B6526F" w:rsidRPr="00B52B9A" w:rsidRDefault="00665BFB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25,8</w:t>
            </w:r>
          </w:p>
        </w:tc>
      </w:tr>
      <w:tr w:rsidR="00B6526F" w:rsidRPr="00E92754" w14:paraId="18D4DEA9" w14:textId="77777777" w:rsidTr="00102A19">
        <w:trPr>
          <w:trHeight w:val="62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2F14" w14:textId="77777777" w:rsidR="00B6526F" w:rsidRPr="00B52B9A" w:rsidRDefault="00B6526F" w:rsidP="00102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color w:val="000000"/>
                <w:sz w:val="18"/>
                <w:szCs w:val="18"/>
              </w:rPr>
              <w:t>Неправомерное использование бюджетных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E92F" w14:textId="481A7841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7E87" w14:textId="45AF7302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BB55" w14:textId="1E0518E0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B839" w14:textId="5F4FB815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1E6D" w14:textId="51FC8557" w:rsidR="00B6526F" w:rsidRPr="00B52B9A" w:rsidRDefault="00665BFB" w:rsidP="00B060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0C85" w14:textId="5E35591A" w:rsidR="00B6526F" w:rsidRPr="00B52B9A" w:rsidRDefault="00665BFB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2AC0" w14:textId="5B4A1233" w:rsidR="00B6526F" w:rsidRPr="00B52B9A" w:rsidRDefault="00665BFB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D8D3" w14:textId="6A720BAB" w:rsidR="00B6526F" w:rsidRPr="00B52B9A" w:rsidRDefault="00665BFB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6,6</w:t>
            </w:r>
          </w:p>
        </w:tc>
      </w:tr>
      <w:tr w:rsidR="00B6526F" w:rsidRPr="00E92754" w14:paraId="1754C90F" w14:textId="77777777" w:rsidTr="00102A19">
        <w:trPr>
          <w:trHeight w:val="4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C23A" w14:textId="77777777" w:rsidR="00B6526F" w:rsidRPr="00B52B9A" w:rsidRDefault="00B6526F" w:rsidP="00102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color w:val="000000"/>
                <w:sz w:val="18"/>
                <w:szCs w:val="18"/>
              </w:rPr>
              <w:t>Нарушения бухгалтерского (бюджетного) учета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F3D3" w14:textId="70F6EC1E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3 236,8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CDCE" w14:textId="5B6B8E22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71DBF" w14:textId="2CE6948E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CEDEB" w14:textId="3D2FE069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03FCB" w14:textId="29930CA2" w:rsidR="00B6526F" w:rsidRPr="00FF49E1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97483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060B" w14:textId="294C586A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AFC8" w14:textId="00278D99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4790E" w14:textId="76D1F74A" w:rsidR="00B6526F" w:rsidRPr="00B52B9A" w:rsidRDefault="00665BFB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21,1</w:t>
            </w:r>
          </w:p>
        </w:tc>
      </w:tr>
      <w:tr w:rsidR="00B6526F" w:rsidRPr="00E92754" w14:paraId="19AC40F8" w14:textId="77777777" w:rsidTr="00102A19">
        <w:trPr>
          <w:trHeight w:val="4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F60E" w14:textId="77777777" w:rsidR="00B6526F" w:rsidRPr="00B52B9A" w:rsidRDefault="00B6526F" w:rsidP="00102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Прочие нарушения </w:t>
            </w:r>
          </w:p>
          <w:p w14:paraId="08393402" w14:textId="77777777" w:rsidR="00B6526F" w:rsidRPr="00B52B9A" w:rsidRDefault="00B6526F" w:rsidP="00102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недостатки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D7B1" w14:textId="1B9F77AC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7 096,8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6629" w14:textId="0D916B8B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09F7" w14:textId="363E4DBF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FEC1" w14:textId="71671FEB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0A88" w14:textId="4DEFDB94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C3C5" w14:textId="30B03DA7" w:rsidR="00B6526F" w:rsidRPr="00B52B9A" w:rsidRDefault="00974830" w:rsidP="00B060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3787" w14:textId="10E3F0D0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7 121,0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2384" w14:textId="685B2A5E" w:rsidR="00B6526F" w:rsidRPr="00B52B9A" w:rsidRDefault="00665BFB" w:rsidP="00102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</w:tr>
      <w:tr w:rsidR="00B6526F" w:rsidRPr="00E92754" w14:paraId="4C78C895" w14:textId="77777777" w:rsidTr="00102A19">
        <w:trPr>
          <w:trHeight w:val="2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1E8C" w14:textId="77777777" w:rsidR="00B6526F" w:rsidRPr="00B52B9A" w:rsidRDefault="00B6526F" w:rsidP="00102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2B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9A07" w14:textId="7AB2810D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13 129,5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EF17" w14:textId="34BCE9F1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007A" w14:textId="0938B147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07DC" w14:textId="0E970E1F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5DF5" w14:textId="2A1D5815" w:rsidR="00972564" w:rsidRPr="00B52B9A" w:rsidRDefault="00665BFB" w:rsidP="001E4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1 413,5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7471" w14:textId="28497096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F762" w14:textId="18FC979C" w:rsidR="00B6526F" w:rsidRPr="00B52B9A" w:rsidRDefault="00974830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</w:t>
            </w:r>
            <w:r w:rsidR="0066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66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2664" w14:textId="57848B82" w:rsidR="00B6526F" w:rsidRPr="00B52B9A" w:rsidRDefault="00A3451B" w:rsidP="00102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14:paraId="50B3D871" w14:textId="77777777" w:rsidR="00B6526F" w:rsidRPr="00405E7C" w:rsidRDefault="00B6526F" w:rsidP="00B652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E833880" w14:textId="25108179" w:rsidR="00B6526F" w:rsidRPr="006229AE" w:rsidRDefault="00B6526F" w:rsidP="00B652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29AE">
        <w:rPr>
          <w:rFonts w:ascii="Times New Roman" w:hAnsi="Times New Roman"/>
          <w:color w:val="000000"/>
          <w:sz w:val="28"/>
          <w:szCs w:val="28"/>
        </w:rPr>
        <w:t>Наибольший удельный вес в общем объёме нарушений, выявленных по результатам контрольных мероприятий в 202</w:t>
      </w:r>
      <w:r w:rsidR="00A3451B">
        <w:rPr>
          <w:rFonts w:ascii="Times New Roman" w:hAnsi="Times New Roman"/>
          <w:color w:val="000000"/>
          <w:sz w:val="28"/>
          <w:szCs w:val="28"/>
        </w:rPr>
        <w:t>5</w:t>
      </w:r>
      <w:r w:rsidRPr="006229AE">
        <w:rPr>
          <w:rFonts w:ascii="Times New Roman" w:hAnsi="Times New Roman"/>
          <w:color w:val="000000"/>
          <w:sz w:val="28"/>
          <w:szCs w:val="28"/>
        </w:rPr>
        <w:t xml:space="preserve"> году, составля</w:t>
      </w:r>
      <w:r w:rsidR="007D1E09">
        <w:rPr>
          <w:rFonts w:ascii="Times New Roman" w:hAnsi="Times New Roman"/>
          <w:color w:val="000000"/>
          <w:sz w:val="28"/>
          <w:szCs w:val="28"/>
        </w:rPr>
        <w:t>е</w:t>
      </w:r>
      <w:r w:rsidRPr="006229AE">
        <w:rPr>
          <w:rFonts w:ascii="Times New Roman" w:hAnsi="Times New Roman"/>
          <w:color w:val="000000"/>
          <w:sz w:val="28"/>
          <w:szCs w:val="28"/>
        </w:rPr>
        <w:t>т:</w:t>
      </w:r>
    </w:p>
    <w:p w14:paraId="0D2A8EFA" w14:textId="728A52C7" w:rsidR="00A3451B" w:rsidRPr="00A3451B" w:rsidRDefault="00B6526F" w:rsidP="003B0E2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229A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B064E8" w:rsidRPr="006229AE">
        <w:rPr>
          <w:rFonts w:ascii="Times New Roman" w:hAnsi="Times New Roman"/>
          <w:color w:val="000000"/>
          <w:sz w:val="28"/>
          <w:szCs w:val="28"/>
        </w:rPr>
        <w:t>Неэффективное исполь</w:t>
      </w:r>
      <w:r w:rsidR="0067663B" w:rsidRPr="006229AE">
        <w:rPr>
          <w:rFonts w:ascii="Times New Roman" w:hAnsi="Times New Roman"/>
          <w:color w:val="000000"/>
          <w:sz w:val="28"/>
          <w:szCs w:val="28"/>
        </w:rPr>
        <w:t>зование бюджетных средств</w:t>
      </w:r>
      <w:r w:rsidRPr="006229AE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665BFB">
        <w:rPr>
          <w:rFonts w:ascii="Times New Roman" w:hAnsi="Times New Roman"/>
          <w:color w:val="000000"/>
          <w:sz w:val="28"/>
          <w:szCs w:val="28"/>
        </w:rPr>
        <w:t>98,3</w:t>
      </w:r>
      <w:r w:rsidRPr="006229AE">
        <w:rPr>
          <w:rFonts w:ascii="Times New Roman" w:hAnsi="Times New Roman"/>
          <w:color w:val="000000"/>
          <w:sz w:val="28"/>
          <w:szCs w:val="28"/>
        </w:rPr>
        <w:t xml:space="preserve"> %, что в денежном выражении составляет </w:t>
      </w:r>
      <w:r w:rsidR="00A3451B">
        <w:rPr>
          <w:rFonts w:ascii="Times New Roman" w:hAnsi="Times New Roman"/>
          <w:color w:val="000000"/>
          <w:sz w:val="28"/>
          <w:szCs w:val="28"/>
        </w:rPr>
        <w:t>1 390,3</w:t>
      </w:r>
      <w:r w:rsidR="0067663B" w:rsidRPr="006229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229AE">
        <w:rPr>
          <w:rFonts w:ascii="Times New Roman" w:hAnsi="Times New Roman"/>
          <w:color w:val="000000"/>
          <w:sz w:val="28"/>
          <w:szCs w:val="28"/>
        </w:rPr>
        <w:t>тыс. рублей</w:t>
      </w:r>
      <w:r w:rsidR="00A3451B">
        <w:rPr>
          <w:rFonts w:ascii="Times New Roman" w:hAnsi="Times New Roman"/>
          <w:color w:val="000000"/>
          <w:sz w:val="28"/>
          <w:szCs w:val="28"/>
        </w:rPr>
        <w:t xml:space="preserve">. Основная доля нарушений приходится на </w:t>
      </w:r>
      <w:r w:rsidR="00A3451B">
        <w:rPr>
          <w:rFonts w:ascii="Times New Roman" w:hAnsi="Times New Roman"/>
          <w:bCs/>
          <w:color w:val="000000"/>
          <w:sz w:val="28"/>
          <w:szCs w:val="28"/>
        </w:rPr>
        <w:t>МБУ «Библиотека». При проведении контрольного мероприятия установлено:</w:t>
      </w:r>
    </w:p>
    <w:p w14:paraId="4F7B53E1" w14:textId="6EC68453" w:rsidR="003B0E24" w:rsidRDefault="0067663B" w:rsidP="003B0E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27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3B0E24">
        <w:rPr>
          <w:rFonts w:ascii="Times New Roman" w:hAnsi="Times New Roman"/>
          <w:sz w:val="28"/>
          <w:szCs w:val="28"/>
        </w:rPr>
        <w:t>в</w:t>
      </w:r>
      <w:r w:rsidR="003B0E24" w:rsidRPr="003B0E24">
        <w:rPr>
          <w:rFonts w:ascii="Times New Roman" w:hAnsi="Times New Roman"/>
          <w:sz w:val="28"/>
          <w:szCs w:val="28"/>
        </w:rPr>
        <w:t xml:space="preserve"> нарушение ч. 4 ст. 135 ТК РФ л</w:t>
      </w:r>
      <w:r w:rsidR="003B0E24" w:rsidRPr="003B0E24">
        <w:rPr>
          <w:rFonts w:ascii="Times New Roman" w:hAnsi="Times New Roman"/>
          <w:color w:val="1A1A1A"/>
          <w:sz w:val="28"/>
          <w:szCs w:val="28"/>
        </w:rPr>
        <w:t>окальные нормативные акты, устанавливающие системы оплаты труда, приняты работодателем без учета мнения представительного органа работников</w:t>
      </w:r>
      <w:r w:rsidR="003B0E24">
        <w:rPr>
          <w:rFonts w:ascii="Times New Roman" w:hAnsi="Times New Roman"/>
          <w:color w:val="1A1A1A"/>
          <w:sz w:val="28"/>
          <w:szCs w:val="28"/>
        </w:rPr>
        <w:t>;</w:t>
      </w:r>
      <w:r w:rsidR="003B0E24" w:rsidRPr="003B0E24">
        <w:rPr>
          <w:rFonts w:ascii="Times New Roman" w:hAnsi="Times New Roman"/>
          <w:sz w:val="28"/>
          <w:szCs w:val="28"/>
        </w:rPr>
        <w:t xml:space="preserve"> </w:t>
      </w:r>
    </w:p>
    <w:p w14:paraId="4082A105" w14:textId="3530AC84" w:rsidR="003B0E24" w:rsidRPr="003B0E24" w:rsidRDefault="003B0E24" w:rsidP="003B0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B0E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B0E24">
        <w:rPr>
          <w:rFonts w:ascii="Times New Roman" w:hAnsi="Times New Roman"/>
          <w:sz w:val="28"/>
          <w:szCs w:val="28"/>
        </w:rPr>
        <w:t xml:space="preserve">редставленные к проверке трудовые договора работников МБУ «Библиотека» </w:t>
      </w:r>
      <w:r w:rsidRPr="003B0E24">
        <w:rPr>
          <w:rFonts w:ascii="Times New Roman" w:hAnsi="Times New Roman"/>
          <w:bCs/>
          <w:sz w:val="28"/>
          <w:szCs w:val="28"/>
        </w:rPr>
        <w:t>не содержат условий оплаты стимулирующих выплат</w:t>
      </w:r>
      <w:r w:rsidRPr="003B0E24">
        <w:rPr>
          <w:rFonts w:ascii="Times New Roman" w:hAnsi="Times New Roman"/>
          <w:sz w:val="28"/>
          <w:szCs w:val="28"/>
        </w:rPr>
        <w:t xml:space="preserve">, что является нарушением </w:t>
      </w:r>
      <w:proofErr w:type="spellStart"/>
      <w:r w:rsidRPr="003B0E24">
        <w:rPr>
          <w:rFonts w:ascii="Times New Roman" w:hAnsi="Times New Roman"/>
          <w:sz w:val="28"/>
          <w:szCs w:val="28"/>
        </w:rPr>
        <w:t>абз</w:t>
      </w:r>
      <w:proofErr w:type="spellEnd"/>
      <w:r w:rsidRPr="003B0E24">
        <w:rPr>
          <w:rFonts w:ascii="Times New Roman" w:hAnsi="Times New Roman"/>
          <w:sz w:val="28"/>
          <w:szCs w:val="28"/>
        </w:rPr>
        <w:t>. 5 ч. 2 ст. 57 ТК РФ</w:t>
      </w:r>
      <w:r>
        <w:rPr>
          <w:rFonts w:ascii="Times New Roman" w:hAnsi="Times New Roman"/>
          <w:sz w:val="28"/>
          <w:szCs w:val="28"/>
        </w:rPr>
        <w:t>;</w:t>
      </w:r>
    </w:p>
    <w:p w14:paraId="2D7D7352" w14:textId="419F902A" w:rsidR="003B0E24" w:rsidRPr="003B0E24" w:rsidRDefault="003B0E24" w:rsidP="00AE5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в</w:t>
      </w:r>
      <w:r w:rsidRPr="003B0E24">
        <w:rPr>
          <w:rFonts w:ascii="Times New Roman" w:hAnsi="Times New Roman"/>
          <w:color w:val="1A1A1A"/>
          <w:sz w:val="28"/>
          <w:szCs w:val="28"/>
        </w:rPr>
        <w:t xml:space="preserve"> нарушение ст. 72 ТК РФ с заместителем директора и главным бухгалтером не были заключены дополнительные соглашения об изменении сроков выплаты заработной платы</w:t>
      </w:r>
      <w:r>
        <w:rPr>
          <w:rFonts w:ascii="Times New Roman" w:hAnsi="Times New Roman"/>
          <w:color w:val="1A1A1A"/>
          <w:sz w:val="28"/>
          <w:szCs w:val="28"/>
        </w:rPr>
        <w:t>;</w:t>
      </w:r>
      <w:r w:rsidRPr="003B0E24"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14:paraId="64076930" w14:textId="6757E0D7" w:rsidR="003B0E24" w:rsidRDefault="003B0E24" w:rsidP="00AE5D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="0067663B" w:rsidRPr="00932AD5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3B0E24">
        <w:rPr>
          <w:rFonts w:ascii="Times New Roman" w:hAnsi="Times New Roman"/>
          <w:sz w:val="28"/>
          <w:szCs w:val="28"/>
        </w:rPr>
        <w:t xml:space="preserve"> нарушение п. 6.3, 6.4 Постановления</w:t>
      </w:r>
      <w:r w:rsidR="007D1E09">
        <w:rPr>
          <w:rFonts w:ascii="Times New Roman" w:hAnsi="Times New Roman"/>
          <w:sz w:val="28"/>
          <w:szCs w:val="28"/>
        </w:rPr>
        <w:t xml:space="preserve"> Главы Колпашевского района</w:t>
      </w:r>
      <w:r w:rsidRPr="003B0E24">
        <w:rPr>
          <w:rFonts w:ascii="Times New Roman" w:hAnsi="Times New Roman"/>
          <w:sz w:val="28"/>
          <w:szCs w:val="28"/>
        </w:rPr>
        <w:t xml:space="preserve"> от 25.05.2015 № 100 </w:t>
      </w:r>
      <w:r w:rsidR="00AE5D4F" w:rsidRPr="00AE5D4F">
        <w:rPr>
          <w:rFonts w:ascii="Times New Roman" w:hAnsi="Times New Roman"/>
          <w:bCs/>
          <w:color w:val="000000"/>
          <w:sz w:val="28"/>
          <w:szCs w:val="28"/>
        </w:rPr>
        <w:t>«Об утверждении Положения об оплате труда руководителей, их заместителей и главных бухгалтеров муниципальных учреждений культуры Колпашевского района»</w:t>
      </w:r>
      <w:r w:rsidR="00AE5D4F">
        <w:rPr>
          <w:rFonts w:ascii="Times New Roman" w:hAnsi="Times New Roman"/>
          <w:sz w:val="28"/>
          <w:szCs w:val="28"/>
        </w:rPr>
        <w:t xml:space="preserve"> </w:t>
      </w:r>
      <w:r w:rsidRPr="003B0E24">
        <w:rPr>
          <w:rFonts w:ascii="Times New Roman" w:hAnsi="Times New Roman"/>
          <w:sz w:val="28"/>
          <w:szCs w:val="28"/>
        </w:rPr>
        <w:t xml:space="preserve">и п. 4.4, 4.5, 4.6, 4.7 Приказа </w:t>
      </w:r>
      <w:r w:rsidR="007D1E09">
        <w:rPr>
          <w:rFonts w:ascii="Times New Roman" w:hAnsi="Times New Roman"/>
          <w:sz w:val="28"/>
          <w:szCs w:val="28"/>
        </w:rPr>
        <w:t xml:space="preserve">Управления по культуре, спорту и молодежной политики </w:t>
      </w:r>
      <w:r w:rsidRPr="003B0E24">
        <w:rPr>
          <w:rFonts w:ascii="Times New Roman" w:hAnsi="Times New Roman"/>
          <w:sz w:val="28"/>
          <w:szCs w:val="28"/>
        </w:rPr>
        <w:t xml:space="preserve">от 13.07.2017 № 184 </w:t>
      </w:r>
      <w:r w:rsidR="00AE5D4F" w:rsidRPr="00AE5D4F">
        <w:rPr>
          <w:rFonts w:ascii="Times New Roman" w:hAnsi="Times New Roman"/>
          <w:sz w:val="28"/>
          <w:szCs w:val="28"/>
        </w:rPr>
        <w:t>«Об утверждении целевых показателей деятельности  и критериев оценки эффективности работы руководителей, их заместителей и главных бухгалтеров муниципальных учреждений культуры»</w:t>
      </w:r>
      <w:r w:rsidR="00AE5D4F">
        <w:rPr>
          <w:sz w:val="28"/>
          <w:szCs w:val="28"/>
        </w:rPr>
        <w:t xml:space="preserve"> </w:t>
      </w:r>
      <w:r w:rsidRPr="003B0E24">
        <w:rPr>
          <w:rFonts w:ascii="Times New Roman" w:hAnsi="Times New Roman"/>
          <w:sz w:val="28"/>
          <w:szCs w:val="28"/>
        </w:rPr>
        <w:t>выплаты стимулирующего характера заместителю руководителя и главному бухгалтеру, включая премии, устанавливались без учета критериев оценки эффективности их деятельности</w:t>
      </w:r>
      <w:r w:rsidR="00AE5D4F">
        <w:rPr>
          <w:rFonts w:ascii="Times New Roman" w:hAnsi="Times New Roman"/>
          <w:sz w:val="28"/>
          <w:szCs w:val="28"/>
        </w:rPr>
        <w:t>;</w:t>
      </w:r>
    </w:p>
    <w:p w14:paraId="5BADB495" w14:textId="00818558" w:rsidR="003B0E24" w:rsidRPr="003B0E24" w:rsidRDefault="00AE5D4F" w:rsidP="003B0E2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ab/>
      </w:r>
      <w:r>
        <w:rPr>
          <w:rFonts w:ascii="Times New Roman" w:hAnsi="Times New Roman"/>
          <w:color w:val="1A1A1A"/>
          <w:sz w:val="28"/>
          <w:szCs w:val="28"/>
        </w:rPr>
        <w:tab/>
      </w:r>
      <w:r w:rsidR="003B0E24" w:rsidRPr="003B0E24">
        <w:rPr>
          <w:rFonts w:ascii="Times New Roman" w:hAnsi="Times New Roman"/>
          <w:color w:val="1A1A1A"/>
          <w:sz w:val="28"/>
          <w:szCs w:val="28"/>
        </w:rPr>
        <w:t xml:space="preserve">В результате нарушений и недостатков, допущенных при установлении премий заместителю директора и главному бухгалтеру, в нарушение принципа, установленного ст. 34 Бюджетного кодекса Российской Федерации, </w:t>
      </w:r>
      <w:r w:rsidR="003B0E24" w:rsidRPr="003B0E24">
        <w:rPr>
          <w:rFonts w:ascii="Times New Roman" w:hAnsi="Times New Roman"/>
          <w:color w:val="1A1A1A"/>
          <w:sz w:val="28"/>
          <w:szCs w:val="28"/>
        </w:rPr>
        <w:lastRenderedPageBreak/>
        <w:t>неэффективное использование бюджетных средств составило в целом 965 347,7 рублей</w:t>
      </w:r>
      <w:r>
        <w:rPr>
          <w:rFonts w:ascii="Times New Roman" w:hAnsi="Times New Roman"/>
          <w:color w:val="1A1A1A"/>
          <w:sz w:val="28"/>
          <w:szCs w:val="28"/>
        </w:rPr>
        <w:t>.</w:t>
      </w:r>
      <w:r w:rsidR="003B0E24" w:rsidRPr="003B0E24"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14:paraId="5B0AA82C" w14:textId="71BB259F" w:rsidR="003B0E24" w:rsidRPr="003B0E24" w:rsidRDefault="00AE5D4F" w:rsidP="003B0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="003B0E24" w:rsidRPr="003B0E24">
        <w:rPr>
          <w:rFonts w:ascii="Times New Roman" w:eastAsia="Calibri" w:hAnsi="Times New Roman"/>
          <w:sz w:val="28"/>
          <w:szCs w:val="28"/>
        </w:rPr>
        <w:t>окальный правовой акт об утверждении положения о деятельности комиссии по определению размера стимулирующих выплат работникам, не относящимся к ПКГ должностей работников культуры, искусства и кинематографии в МБУ «Библиотека» не разрабатывался, перечень показателей эффективности деятельности работников, относящихся к ПКГ общеотраслевых должностей руководителей, специалистов и служащих, ПКГ общеотраслевых профессий рабочих не устанавливался, в силу чего комиссия не могла проводить анализ выполнения работниками критериев оценки и результативности их деятельности, а также определять размер стимулирующей выплаты в отсутствие самих критериев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101C4761" w14:textId="77777777" w:rsidR="003B0E24" w:rsidRPr="003B0E24" w:rsidRDefault="003B0E24" w:rsidP="003B0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B0E24">
        <w:rPr>
          <w:rFonts w:ascii="Times New Roman" w:eastAsia="Calibri" w:hAnsi="Times New Roman"/>
          <w:sz w:val="28"/>
          <w:szCs w:val="28"/>
        </w:rPr>
        <w:t>В связи с отсутствием перечня показателей эффективности деятельности работников МБУ «Библиотека», не относящимся к ПКГ должностей работников культуры, искусства и кинематографии стимулирующие выплаты, установленные приказами директора не могут быть признаны обоснованными и правомерными.</w:t>
      </w:r>
    </w:p>
    <w:p w14:paraId="03142ED4" w14:textId="0A0F01D4" w:rsidR="003B0E24" w:rsidRPr="003B0E24" w:rsidRDefault="00AE5D4F" w:rsidP="00AE5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3B0E24" w:rsidRPr="003B0E24">
        <w:rPr>
          <w:rFonts w:ascii="Times New Roman" w:hAnsi="Times New Roman"/>
          <w:sz w:val="28"/>
          <w:szCs w:val="28"/>
        </w:rPr>
        <w:t xml:space="preserve">не подтверждена эффективность расходования средств субсидий, предоставленных на выплаты в виде премии за выполнение особо важных и срочных заданий персоналу в общей сумме 232 207,09 рублей </w:t>
      </w:r>
      <w:r w:rsidR="003B0E24" w:rsidRPr="003B0E24">
        <w:rPr>
          <w:rFonts w:ascii="Times New Roman" w:eastAsia="Calibri" w:hAnsi="Times New Roman"/>
          <w:sz w:val="28"/>
          <w:szCs w:val="28"/>
        </w:rPr>
        <w:t>без учета</w:t>
      </w:r>
      <w:r w:rsidR="003B0E24" w:rsidRPr="003B0E24">
        <w:rPr>
          <w:rFonts w:ascii="Times New Roman" w:hAnsi="Times New Roman"/>
          <w:sz w:val="28"/>
          <w:szCs w:val="28"/>
        </w:rPr>
        <w:t xml:space="preserve"> начисления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 в связи с отсутствием критериев оценки индивидуального вклада каждого сотрудника</w:t>
      </w:r>
      <w:r>
        <w:rPr>
          <w:rFonts w:ascii="Times New Roman" w:hAnsi="Times New Roman"/>
          <w:sz w:val="28"/>
          <w:szCs w:val="28"/>
        </w:rPr>
        <w:t>;</w:t>
      </w:r>
    </w:p>
    <w:p w14:paraId="41EF547D" w14:textId="2E4C2AC7" w:rsidR="003B0E24" w:rsidRDefault="00AE5D4F" w:rsidP="003B0E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</w:t>
      </w:r>
      <w:r w:rsidR="003B0E24" w:rsidRPr="003B0E24">
        <w:rPr>
          <w:rFonts w:ascii="Times New Roman" w:hAnsi="Times New Roman"/>
          <w:color w:val="000000"/>
          <w:sz w:val="28"/>
          <w:szCs w:val="28"/>
        </w:rPr>
        <w:t xml:space="preserve">ачисление премии по итогам деятельности  </w:t>
      </w:r>
      <w:r w:rsidR="003B0E24" w:rsidRPr="003B0E24">
        <w:rPr>
          <w:rFonts w:ascii="Times New Roman" w:hAnsi="Times New Roman"/>
          <w:sz w:val="28"/>
          <w:szCs w:val="28"/>
        </w:rPr>
        <w:t>работников, замещающих должности, относящиеся к ПКГ должностей работников культуры, искусства и кинематографии за 1, 2, 3, 4 квартала начисля</w:t>
      </w:r>
      <w:r w:rsidR="00972564">
        <w:rPr>
          <w:rFonts w:ascii="Times New Roman" w:hAnsi="Times New Roman"/>
          <w:sz w:val="28"/>
          <w:szCs w:val="28"/>
        </w:rPr>
        <w:t>лись</w:t>
      </w:r>
      <w:r w:rsidR="003B0E24" w:rsidRPr="003B0E24">
        <w:rPr>
          <w:rFonts w:ascii="Times New Roman" w:hAnsi="Times New Roman"/>
          <w:sz w:val="28"/>
          <w:szCs w:val="28"/>
        </w:rPr>
        <w:t xml:space="preserve"> в соответствии с заключениями оценочной комиссии, при этом премиальные листы отсутст</w:t>
      </w:r>
      <w:r w:rsidR="00972564">
        <w:rPr>
          <w:rFonts w:ascii="Times New Roman" w:hAnsi="Times New Roman"/>
          <w:sz w:val="28"/>
          <w:szCs w:val="28"/>
        </w:rPr>
        <w:t>вовали</w:t>
      </w:r>
      <w:r w:rsidR="003B0E24" w:rsidRPr="003B0E24">
        <w:rPr>
          <w:rFonts w:ascii="Times New Roman" w:hAnsi="Times New Roman"/>
          <w:sz w:val="28"/>
          <w:szCs w:val="28"/>
        </w:rPr>
        <w:t>, соответственно количество начисленных баллов по оценке результатов и качества работы сотрудников определить не представилось возможным</w:t>
      </w:r>
      <w:r>
        <w:rPr>
          <w:rFonts w:ascii="Times New Roman" w:hAnsi="Times New Roman"/>
          <w:sz w:val="28"/>
          <w:szCs w:val="28"/>
        </w:rPr>
        <w:t>;</w:t>
      </w:r>
      <w:r w:rsidR="003B0E24" w:rsidRPr="003B0E24">
        <w:rPr>
          <w:rFonts w:ascii="Times New Roman" w:hAnsi="Times New Roman"/>
          <w:sz w:val="28"/>
          <w:szCs w:val="28"/>
        </w:rPr>
        <w:t xml:space="preserve"> </w:t>
      </w:r>
    </w:p>
    <w:p w14:paraId="0020FCB7" w14:textId="3B11DEEC" w:rsidR="00CB5B68" w:rsidRPr="003B0E24" w:rsidRDefault="00CB5B68" w:rsidP="003B0E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выявлено несоблюдение норм, установленных частью 4 статьи 9 Федерального закона от 06.12.2011 № 402-ФЗ "О бухгалтерском учете", пунктов 2 и 5 приказа Минфина от 30.03.2015 № 52н;</w:t>
      </w:r>
    </w:p>
    <w:p w14:paraId="66317DDE" w14:textId="3F96869E" w:rsidR="003B0E24" w:rsidRDefault="00AE5D4F" w:rsidP="003B0E24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у</w:t>
      </w:r>
      <w:r w:rsidR="003B0E24" w:rsidRPr="003B0E2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становлен один случай нарушения п. 2.7. Положения № 82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AE5D4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r w:rsidRPr="00AE5D4F">
        <w:rPr>
          <w:rFonts w:ascii="Times New Roman" w:hAnsi="Times New Roman"/>
          <w:sz w:val="28"/>
          <w:szCs w:val="28"/>
        </w:rPr>
        <w:t>О размере, условиях и порядке предоставления компенсации расходов по оплате стоимости проезда и провоза багажа в пределах РФ к месту использования отпуска и обратно для лиц, работающих в органах местного самоуправления муниципального образования «Колпашевский район», и о размере, условиях и порядке предоставления компенсации расходов по оплате стоимости проезда и провоза багажа в пределах РФ при переезде к новому месту жительства, в другую местность, за пределы Колпашевского района»</w:t>
      </w:r>
      <w:r w:rsidR="003B0E24" w:rsidRPr="003B0E2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 части срока </w:t>
      </w:r>
      <w:r w:rsidR="003B0E24" w:rsidRPr="003B0E24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предоставления отчета о расходах подотчетного лица с подтверждающими документами.</w:t>
      </w:r>
    </w:p>
    <w:p w14:paraId="0CB72BA6" w14:textId="1139E770" w:rsidR="00665BFB" w:rsidRPr="003B0E24" w:rsidRDefault="00665BFB" w:rsidP="003B0E24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2. Второе место занимает неправомерное использование бюджетных средств – 1,6%. Данное нарушение также выявлено в отношении объекта проверки МБУ «Библиотека» в части выплаты </w:t>
      </w:r>
      <w:r w:rsidR="00242B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стимулирующей надбавки и премии за выполнение особо важных и срочных работ библиотекарям.</w:t>
      </w:r>
    </w:p>
    <w:p w14:paraId="463B2F9C" w14:textId="0E598025" w:rsidR="008F71C4" w:rsidRDefault="00665BFB" w:rsidP="00655E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6229AE" w:rsidRPr="006229AE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AE5D4F">
        <w:rPr>
          <w:rFonts w:ascii="Times New Roman" w:hAnsi="Times New Roman"/>
          <w:bCs/>
          <w:color w:val="000000"/>
          <w:sz w:val="28"/>
          <w:szCs w:val="28"/>
        </w:rPr>
        <w:t xml:space="preserve">Небольшую долю занимают прочие нарушения и недостатки </w:t>
      </w:r>
      <w:r w:rsidR="008F71C4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E5D4F">
        <w:rPr>
          <w:rFonts w:ascii="Times New Roman" w:hAnsi="Times New Roman"/>
          <w:bCs/>
          <w:color w:val="000000"/>
          <w:sz w:val="28"/>
          <w:szCs w:val="28"/>
        </w:rPr>
        <w:t>0,1%. Нарушения были выявлен</w:t>
      </w:r>
      <w:r w:rsidR="00CA478C"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AE5D4F">
        <w:rPr>
          <w:rFonts w:ascii="Times New Roman" w:hAnsi="Times New Roman"/>
          <w:bCs/>
          <w:color w:val="000000"/>
          <w:sz w:val="28"/>
          <w:szCs w:val="28"/>
        </w:rPr>
        <w:t xml:space="preserve"> при проведении контрольного мероприятия</w:t>
      </w:r>
      <w:r w:rsidR="008F71C4" w:rsidRPr="008F71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1C4">
        <w:rPr>
          <w:rFonts w:ascii="Times New Roman" w:hAnsi="Times New Roman"/>
          <w:color w:val="000000"/>
          <w:sz w:val="28"/>
          <w:szCs w:val="28"/>
        </w:rPr>
        <w:t xml:space="preserve">«Анализ поступлений в доходную часть бюджета доходов от сдачи в аренду имущества, находящегося в собственности муниципального образования «Саровское сельское поселение», </w:t>
      </w:r>
      <w:r w:rsidR="00CA478C">
        <w:rPr>
          <w:rFonts w:ascii="Times New Roman" w:hAnsi="Times New Roman"/>
          <w:color w:val="000000"/>
          <w:sz w:val="28"/>
          <w:szCs w:val="28"/>
        </w:rPr>
        <w:t>в части</w:t>
      </w:r>
      <w:r w:rsidR="008F71C4">
        <w:rPr>
          <w:rFonts w:ascii="Times New Roman" w:hAnsi="Times New Roman"/>
          <w:color w:val="000000"/>
          <w:sz w:val="28"/>
          <w:szCs w:val="28"/>
        </w:rPr>
        <w:t>:</w:t>
      </w:r>
    </w:p>
    <w:p w14:paraId="201A57A3" w14:textId="4013D91A" w:rsidR="00CA478C" w:rsidRDefault="008F71C4" w:rsidP="00CA47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E5D4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A478C">
        <w:rPr>
          <w:rFonts w:ascii="Times New Roman" w:hAnsi="Times New Roman"/>
          <w:bCs/>
          <w:color w:val="000000"/>
          <w:sz w:val="28"/>
          <w:szCs w:val="28"/>
        </w:rPr>
        <w:t xml:space="preserve">отсутствия </w:t>
      </w:r>
      <w:r w:rsidRPr="008F71C4">
        <w:rPr>
          <w:rFonts w:ascii="Times New Roman" w:hAnsi="Times New Roman"/>
          <w:sz w:val="28"/>
          <w:szCs w:val="28"/>
          <w:shd w:val="clear" w:color="auto" w:fill="FFFFFF"/>
        </w:rPr>
        <w:t>Поряд</w:t>
      </w:r>
      <w:r w:rsidR="00CA478C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8F71C4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определения арендной платы в отношении муниципального имущества Администраци</w:t>
      </w:r>
      <w:r w:rsidR="0097256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8F71C4">
        <w:rPr>
          <w:rFonts w:ascii="Times New Roman" w:hAnsi="Times New Roman"/>
          <w:sz w:val="28"/>
          <w:szCs w:val="28"/>
          <w:shd w:val="clear" w:color="auto" w:fill="FFFFFF"/>
        </w:rPr>
        <w:t xml:space="preserve"> Саровского сельского поселения</w:t>
      </w:r>
      <w:r w:rsidR="00CA478C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8F71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7AF9721" w14:textId="6A44FFC2" w:rsidR="00DD4706" w:rsidRDefault="00DD4706" w:rsidP="00CA478C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F71C4">
        <w:rPr>
          <w:rFonts w:ascii="Times New Roman" w:hAnsi="Times New Roman"/>
          <w:iCs/>
          <w:sz w:val="28"/>
          <w:szCs w:val="28"/>
        </w:rPr>
        <w:t>нарушения сроков внесения арендных платежей, установленных договорами аренды всеми арендаторами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12781787" w14:textId="77079A91" w:rsidR="00CB5B68" w:rsidRDefault="00DD4706" w:rsidP="000B0D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CB5B68">
        <w:rPr>
          <w:rFonts w:ascii="Times New Roman" w:hAnsi="Times New Roman"/>
          <w:iCs/>
          <w:sz w:val="28"/>
          <w:szCs w:val="28"/>
        </w:rPr>
        <w:t>не индексаци</w:t>
      </w:r>
      <w:r w:rsidR="000B0DB0">
        <w:rPr>
          <w:rFonts w:ascii="Times New Roman" w:hAnsi="Times New Roman"/>
          <w:iCs/>
          <w:sz w:val="28"/>
          <w:szCs w:val="28"/>
        </w:rPr>
        <w:t>и</w:t>
      </w:r>
      <w:r w:rsidR="00CB5B68">
        <w:rPr>
          <w:rFonts w:ascii="Times New Roman" w:hAnsi="Times New Roman"/>
          <w:iCs/>
          <w:sz w:val="28"/>
          <w:szCs w:val="28"/>
        </w:rPr>
        <w:t xml:space="preserve"> ставок арендной платы</w:t>
      </w:r>
      <w:r w:rsidR="00CB5B68" w:rsidRPr="00CB5B68">
        <w:rPr>
          <w:rFonts w:ascii="Times New Roman" w:hAnsi="Times New Roman"/>
          <w:sz w:val="28"/>
          <w:szCs w:val="28"/>
        </w:rPr>
        <w:t xml:space="preserve"> </w:t>
      </w:r>
      <w:r w:rsidR="00CB5B68" w:rsidRPr="008F71C4">
        <w:rPr>
          <w:rFonts w:ascii="Times New Roman" w:hAnsi="Times New Roman"/>
          <w:sz w:val="28"/>
          <w:szCs w:val="28"/>
        </w:rPr>
        <w:t>на величину, равную прогнозируемому уровню инфляции, что предусмотрено п. 1.1 Постановления от 09.01.2013 № 2 «О ставках арендной платы за использование земельных участков, находящихся в собственности муниципального образования «Саровское сельское поселение». Потери бюджета в 2024 году составили 872,72 рубля.</w:t>
      </w:r>
    </w:p>
    <w:p w14:paraId="2E8109E7" w14:textId="3C43A355" w:rsidR="000B0DB0" w:rsidRDefault="000B0DB0" w:rsidP="000B0D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B0DB0">
        <w:rPr>
          <w:rFonts w:ascii="Times New Roman" w:hAnsi="Times New Roman"/>
          <w:sz w:val="28"/>
          <w:szCs w:val="28"/>
        </w:rPr>
        <w:t>нарушение статьи 160.1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 в части</w:t>
      </w:r>
      <w:r w:rsidRPr="000B0DB0">
        <w:rPr>
          <w:rFonts w:ascii="Times New Roman" w:hAnsi="Times New Roman"/>
          <w:sz w:val="28"/>
          <w:szCs w:val="28"/>
        </w:rPr>
        <w:t xml:space="preserve"> ненадлежащ</w:t>
      </w:r>
      <w:r>
        <w:rPr>
          <w:rFonts w:ascii="Times New Roman" w:hAnsi="Times New Roman"/>
          <w:sz w:val="28"/>
          <w:szCs w:val="28"/>
        </w:rPr>
        <w:t>его</w:t>
      </w:r>
      <w:r w:rsidRPr="000B0DB0">
        <w:rPr>
          <w:rFonts w:ascii="Times New Roman" w:hAnsi="Times New Roman"/>
          <w:sz w:val="28"/>
          <w:szCs w:val="28"/>
        </w:rPr>
        <w:t xml:space="preserve"> исполн</w:t>
      </w:r>
      <w:r>
        <w:rPr>
          <w:rFonts w:ascii="Times New Roman" w:hAnsi="Times New Roman"/>
          <w:sz w:val="28"/>
          <w:szCs w:val="28"/>
        </w:rPr>
        <w:t>ения</w:t>
      </w:r>
      <w:r w:rsidRPr="000B0DB0">
        <w:rPr>
          <w:rFonts w:ascii="Times New Roman" w:hAnsi="Times New Roman"/>
          <w:sz w:val="28"/>
          <w:szCs w:val="28"/>
        </w:rPr>
        <w:t xml:space="preserve"> полномочи</w:t>
      </w:r>
      <w:r>
        <w:rPr>
          <w:rFonts w:ascii="Times New Roman" w:hAnsi="Times New Roman"/>
          <w:sz w:val="28"/>
          <w:szCs w:val="28"/>
        </w:rPr>
        <w:t>й</w:t>
      </w:r>
      <w:r w:rsidRPr="000B0DB0">
        <w:rPr>
          <w:rFonts w:ascii="Times New Roman" w:hAnsi="Times New Roman"/>
          <w:sz w:val="28"/>
          <w:szCs w:val="28"/>
        </w:rPr>
        <w:t xml:space="preserve"> администратора доходов бюджета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0B0DB0"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ю</w:t>
      </w:r>
      <w:r w:rsidRPr="000B0DB0">
        <w:rPr>
          <w:rFonts w:ascii="Times New Roman" w:hAnsi="Times New Roman"/>
          <w:sz w:val="28"/>
          <w:szCs w:val="28"/>
        </w:rPr>
        <w:t xml:space="preserve"> начисления, учета и контроля за правильностью исчисления, полнотой и своевременностью осуществления платежей в бюджет, пеней, штрафов</w:t>
      </w:r>
      <w:r>
        <w:rPr>
          <w:rFonts w:ascii="Times New Roman" w:hAnsi="Times New Roman"/>
          <w:sz w:val="28"/>
          <w:szCs w:val="28"/>
        </w:rPr>
        <w:t>;</w:t>
      </w:r>
      <w:r w:rsidRPr="000B0DB0">
        <w:rPr>
          <w:rFonts w:ascii="Times New Roman" w:hAnsi="Times New Roman"/>
          <w:sz w:val="28"/>
          <w:szCs w:val="28"/>
        </w:rPr>
        <w:t xml:space="preserve">  </w:t>
      </w:r>
    </w:p>
    <w:p w14:paraId="737FD67F" w14:textId="5B964A96" w:rsidR="00CB5B68" w:rsidRPr="008F71C4" w:rsidRDefault="00CB5B68" w:rsidP="000B0D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помещение для размещения объекта торговли (магазина) не исполь</w:t>
      </w:r>
      <w:r w:rsidR="00972564">
        <w:rPr>
          <w:rFonts w:ascii="Times New Roman" w:hAnsi="Times New Roman"/>
          <w:sz w:val="28"/>
          <w:szCs w:val="28"/>
        </w:rPr>
        <w:t>зовалось</w:t>
      </w:r>
      <w:r>
        <w:rPr>
          <w:rFonts w:ascii="Times New Roman" w:hAnsi="Times New Roman"/>
          <w:sz w:val="28"/>
          <w:szCs w:val="28"/>
        </w:rPr>
        <w:t xml:space="preserve"> по целевому назначению.</w:t>
      </w:r>
    </w:p>
    <w:p w14:paraId="6BB17D75" w14:textId="5BBD3F12" w:rsidR="00626E7A" w:rsidRPr="00E92754" w:rsidRDefault="00626E7A" w:rsidP="000B0D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Для принятия мер Палатой направлено</w:t>
      </w:r>
      <w:r w:rsidRPr="00E927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5B68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представлени</w:t>
      </w:r>
      <w:r w:rsidR="00CB5B68">
        <w:rPr>
          <w:rFonts w:ascii="Times New Roman" w:hAnsi="Times New Roman"/>
          <w:color w:val="000000"/>
          <w:sz w:val="28"/>
          <w:szCs w:val="28"/>
        </w:rPr>
        <w:t>й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об устранении </w:t>
      </w:r>
      <w:r>
        <w:rPr>
          <w:rFonts w:ascii="Times New Roman" w:hAnsi="Times New Roman"/>
          <w:color w:val="000000"/>
          <w:sz w:val="28"/>
          <w:szCs w:val="28"/>
        </w:rPr>
        <w:t xml:space="preserve">выявленных 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нарушений руководителям объектов мероприятий. </w:t>
      </w:r>
      <w:r>
        <w:rPr>
          <w:rFonts w:ascii="Times New Roman" w:hAnsi="Times New Roman"/>
          <w:color w:val="000000"/>
          <w:sz w:val="28"/>
          <w:szCs w:val="28"/>
        </w:rPr>
        <w:t xml:space="preserve">Все представления рассмотрены объектами контрольных мероприятий в установленный законодательством срок. </w:t>
      </w:r>
    </w:p>
    <w:p w14:paraId="57C8C1DD" w14:textId="1032DF66" w:rsidR="00626E7A" w:rsidRDefault="00626E7A" w:rsidP="00CB5B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По и</w:t>
      </w:r>
      <w:r>
        <w:rPr>
          <w:rFonts w:ascii="Times New Roman" w:hAnsi="Times New Roman"/>
          <w:color w:val="000000"/>
          <w:sz w:val="28"/>
          <w:szCs w:val="28"/>
        </w:rPr>
        <w:t>нформации, предоставленной в Счё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тную палату после проверок, в отношении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E9275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92754">
        <w:rPr>
          <w:rFonts w:ascii="Times New Roman" w:hAnsi="Times New Roman"/>
          <w:color w:val="000000"/>
          <w:sz w:val="28"/>
          <w:szCs w:val="28"/>
        </w:rPr>
        <w:t>должностных лиц были применены меры дисциплинарной ответственности:</w:t>
      </w:r>
    </w:p>
    <w:p w14:paraId="165FF88D" w14:textId="77777777" w:rsidR="00CB5B68" w:rsidRDefault="00626E7A" w:rsidP="00626E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B5B68">
        <w:rPr>
          <w:rFonts w:ascii="Times New Roman" w:hAnsi="Times New Roman"/>
          <w:color w:val="000000"/>
          <w:sz w:val="28"/>
          <w:szCs w:val="28"/>
        </w:rPr>
        <w:t>в отношении главного бухгалтера МБУ «Библиотека» вынесено дисциплинарное взыскание в форме «Замечание»;</w:t>
      </w:r>
    </w:p>
    <w:p w14:paraId="4BC213B3" w14:textId="7C403646" w:rsidR="00626E7A" w:rsidRPr="00E23668" w:rsidRDefault="00CB5B68" w:rsidP="00242B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42B28">
        <w:rPr>
          <w:rFonts w:ascii="Times New Roman" w:hAnsi="Times New Roman"/>
          <w:color w:val="000000"/>
          <w:sz w:val="28"/>
          <w:szCs w:val="28"/>
        </w:rPr>
        <w:t>в отношении специалиста по закупкам Администрации Новоселовского сельского поселения вынесено дисциплинарное взыскание в форме «Замечание».</w:t>
      </w:r>
    </w:p>
    <w:p w14:paraId="4ADF1F12" w14:textId="7B79875E" w:rsidR="0040137C" w:rsidRPr="00E92754" w:rsidRDefault="00626E7A" w:rsidP="004013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E92754">
        <w:rPr>
          <w:rFonts w:ascii="Times New Roman" w:hAnsi="Times New Roman"/>
          <w:color w:val="000000"/>
          <w:sz w:val="28"/>
          <w:szCs w:val="28"/>
        </w:rPr>
        <w:t>риняты меры по устранению нарушений и недопущению их в дальнейшем:</w:t>
      </w:r>
      <w:r w:rsidR="0040137C" w:rsidRPr="0040137C">
        <w:t xml:space="preserve"> </w:t>
      </w:r>
      <w:r w:rsidR="0040137C" w:rsidRPr="0040137C">
        <w:rPr>
          <w:rFonts w:ascii="Times New Roman" w:hAnsi="Times New Roman"/>
          <w:color w:val="000000"/>
          <w:sz w:val="28"/>
          <w:szCs w:val="28"/>
        </w:rPr>
        <w:t xml:space="preserve">разработаны и приняты нормативные правовые акты, внесены </w:t>
      </w:r>
      <w:r w:rsidR="0040137C" w:rsidRPr="0040137C">
        <w:rPr>
          <w:rFonts w:ascii="Times New Roman" w:hAnsi="Times New Roman"/>
          <w:color w:val="000000"/>
          <w:sz w:val="28"/>
          <w:szCs w:val="28"/>
        </w:rPr>
        <w:lastRenderedPageBreak/>
        <w:t xml:space="preserve">изменения в действующие локальные нормативные акты проверенных объектов, </w:t>
      </w:r>
      <w:r w:rsidR="0040137C">
        <w:rPr>
          <w:rFonts w:ascii="Times New Roman" w:hAnsi="Times New Roman"/>
          <w:color w:val="000000"/>
          <w:sz w:val="28"/>
          <w:szCs w:val="28"/>
        </w:rPr>
        <w:t>усилен контроль за правильностью начисления заработной платы, предпринимаются меры по недопущению (исключению) установленных нарушений в области бухгалтерского (бюджетного) учета и отчетности</w:t>
      </w:r>
      <w:r w:rsidR="00CB5B68">
        <w:rPr>
          <w:rFonts w:ascii="Times New Roman" w:hAnsi="Times New Roman"/>
          <w:color w:val="000000"/>
          <w:sz w:val="28"/>
          <w:szCs w:val="28"/>
        </w:rPr>
        <w:t>, усилен контроль за правильностью составления трудовых договоров</w:t>
      </w:r>
      <w:r w:rsidR="0040137C">
        <w:rPr>
          <w:rFonts w:ascii="Times New Roman" w:hAnsi="Times New Roman"/>
          <w:color w:val="000000"/>
          <w:sz w:val="28"/>
          <w:szCs w:val="28"/>
        </w:rPr>
        <w:t>.</w:t>
      </w:r>
    </w:p>
    <w:p w14:paraId="5E601AED" w14:textId="760DDBB7" w:rsidR="00505172" w:rsidRDefault="0040137C" w:rsidP="005051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137C">
        <w:rPr>
          <w:rFonts w:ascii="Times New Roman" w:hAnsi="Times New Roman"/>
          <w:color w:val="000000"/>
          <w:sz w:val="28"/>
          <w:szCs w:val="28"/>
        </w:rPr>
        <w:t xml:space="preserve">По результатам </w:t>
      </w:r>
      <w:r w:rsidR="00665BFB">
        <w:rPr>
          <w:rFonts w:ascii="Times New Roman" w:hAnsi="Times New Roman"/>
          <w:color w:val="000000"/>
          <w:sz w:val="28"/>
          <w:szCs w:val="28"/>
        </w:rPr>
        <w:t>одного</w:t>
      </w:r>
      <w:r w:rsidRPr="0040137C">
        <w:rPr>
          <w:rFonts w:ascii="Times New Roman" w:hAnsi="Times New Roman"/>
          <w:color w:val="000000"/>
          <w:sz w:val="28"/>
          <w:szCs w:val="28"/>
        </w:rPr>
        <w:t xml:space="preserve"> мероприяти</w:t>
      </w:r>
      <w:r w:rsidR="00665BFB">
        <w:rPr>
          <w:rFonts w:ascii="Times New Roman" w:hAnsi="Times New Roman"/>
          <w:color w:val="000000"/>
          <w:sz w:val="28"/>
          <w:szCs w:val="28"/>
        </w:rPr>
        <w:t>я</w:t>
      </w:r>
      <w:r w:rsidRPr="0040137C">
        <w:rPr>
          <w:rFonts w:ascii="Times New Roman" w:hAnsi="Times New Roman"/>
          <w:color w:val="000000"/>
          <w:sz w:val="28"/>
          <w:szCs w:val="28"/>
        </w:rPr>
        <w:t xml:space="preserve"> направлен</w:t>
      </w:r>
      <w:r w:rsidR="00665BFB">
        <w:rPr>
          <w:rFonts w:ascii="Times New Roman" w:hAnsi="Times New Roman"/>
          <w:color w:val="000000"/>
          <w:sz w:val="28"/>
          <w:szCs w:val="28"/>
        </w:rPr>
        <w:t>о</w:t>
      </w:r>
      <w:r w:rsidRPr="0040137C">
        <w:rPr>
          <w:rFonts w:ascii="Times New Roman" w:hAnsi="Times New Roman"/>
          <w:color w:val="000000"/>
          <w:sz w:val="28"/>
          <w:szCs w:val="28"/>
        </w:rPr>
        <w:t xml:space="preserve"> информационн</w:t>
      </w:r>
      <w:r w:rsidR="00665BFB">
        <w:rPr>
          <w:rFonts w:ascii="Times New Roman" w:hAnsi="Times New Roman"/>
          <w:color w:val="000000"/>
          <w:sz w:val="28"/>
          <w:szCs w:val="28"/>
        </w:rPr>
        <w:t>ое</w:t>
      </w:r>
      <w:r w:rsidRPr="0040137C">
        <w:rPr>
          <w:rFonts w:ascii="Times New Roman" w:hAnsi="Times New Roman"/>
          <w:color w:val="000000"/>
          <w:sz w:val="28"/>
          <w:szCs w:val="28"/>
        </w:rPr>
        <w:t xml:space="preserve"> письм</w:t>
      </w:r>
      <w:r w:rsidR="00665BFB">
        <w:rPr>
          <w:rFonts w:ascii="Times New Roman" w:hAnsi="Times New Roman"/>
          <w:color w:val="000000"/>
          <w:sz w:val="28"/>
          <w:szCs w:val="28"/>
        </w:rPr>
        <w:t>о</w:t>
      </w:r>
      <w:r w:rsidRPr="0040137C">
        <w:rPr>
          <w:rFonts w:ascii="Times New Roman" w:hAnsi="Times New Roman"/>
          <w:color w:val="000000"/>
          <w:sz w:val="28"/>
          <w:szCs w:val="28"/>
        </w:rPr>
        <w:t xml:space="preserve"> Учредител</w:t>
      </w:r>
      <w:r>
        <w:rPr>
          <w:rFonts w:ascii="Times New Roman" w:hAnsi="Times New Roman"/>
          <w:color w:val="000000"/>
          <w:sz w:val="28"/>
          <w:szCs w:val="28"/>
        </w:rPr>
        <w:t xml:space="preserve">ю (Управление </w:t>
      </w:r>
      <w:r w:rsidR="00665BFB">
        <w:rPr>
          <w:rFonts w:ascii="Times New Roman" w:hAnsi="Times New Roman"/>
          <w:color w:val="000000"/>
          <w:sz w:val="28"/>
          <w:szCs w:val="28"/>
        </w:rPr>
        <w:t xml:space="preserve">по культуре, спорту и молодежной политики </w:t>
      </w:r>
      <w:r>
        <w:rPr>
          <w:rFonts w:ascii="Times New Roman" w:hAnsi="Times New Roman"/>
          <w:color w:val="000000"/>
          <w:sz w:val="28"/>
          <w:szCs w:val="28"/>
        </w:rPr>
        <w:t>Администрации Колпашевского района)</w:t>
      </w:r>
      <w:r w:rsidRPr="0040137C">
        <w:rPr>
          <w:rFonts w:ascii="Times New Roman" w:hAnsi="Times New Roman"/>
          <w:color w:val="000000"/>
          <w:sz w:val="28"/>
          <w:szCs w:val="28"/>
        </w:rPr>
        <w:t xml:space="preserve"> для рассмотрения изложенных фактов и принятия необходимых управленческих решений. </w:t>
      </w:r>
      <w:r w:rsidR="00505172"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писем Управлением </w:t>
      </w:r>
      <w:r w:rsidR="00665BFB">
        <w:rPr>
          <w:rFonts w:ascii="Times New Roman" w:hAnsi="Times New Roman"/>
          <w:color w:val="000000"/>
          <w:sz w:val="28"/>
          <w:szCs w:val="28"/>
        </w:rPr>
        <w:t>по культуре, спорту и молодежной политики</w:t>
      </w:r>
      <w:r w:rsidR="00505172">
        <w:rPr>
          <w:rFonts w:ascii="Times New Roman" w:hAnsi="Times New Roman"/>
          <w:color w:val="000000"/>
          <w:sz w:val="28"/>
          <w:szCs w:val="28"/>
        </w:rPr>
        <w:t xml:space="preserve"> принят</w:t>
      </w:r>
      <w:r w:rsidR="001034BA">
        <w:rPr>
          <w:rFonts w:ascii="Times New Roman" w:hAnsi="Times New Roman"/>
          <w:color w:val="000000"/>
          <w:sz w:val="28"/>
          <w:szCs w:val="28"/>
        </w:rPr>
        <w:t>ы</w:t>
      </w:r>
      <w:r w:rsidR="00505172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 w:rsidR="001034BA">
        <w:rPr>
          <w:rFonts w:ascii="Times New Roman" w:hAnsi="Times New Roman"/>
          <w:color w:val="000000"/>
          <w:sz w:val="28"/>
          <w:szCs w:val="28"/>
        </w:rPr>
        <w:t>я</w:t>
      </w:r>
      <w:r w:rsidR="00505172">
        <w:rPr>
          <w:rFonts w:ascii="Times New Roman" w:hAnsi="Times New Roman"/>
          <w:color w:val="000000"/>
          <w:sz w:val="28"/>
          <w:szCs w:val="28"/>
        </w:rPr>
        <w:t>:</w:t>
      </w:r>
    </w:p>
    <w:p w14:paraId="17003635" w14:textId="1C90FD50" w:rsidR="00505172" w:rsidRDefault="00505172" w:rsidP="005051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 возврате </w:t>
      </w:r>
      <w:r w:rsidR="00665BFB">
        <w:rPr>
          <w:rFonts w:ascii="Times New Roman" w:hAnsi="Times New Roman"/>
          <w:color w:val="000000"/>
          <w:sz w:val="28"/>
          <w:szCs w:val="28"/>
        </w:rPr>
        <w:t>МБУ «Библиотека»</w:t>
      </w:r>
      <w:r>
        <w:rPr>
          <w:rFonts w:ascii="Times New Roman" w:hAnsi="Times New Roman"/>
          <w:color w:val="000000"/>
          <w:sz w:val="28"/>
          <w:szCs w:val="28"/>
        </w:rPr>
        <w:t xml:space="preserve"> неправомерно выплаченной </w:t>
      </w:r>
      <w:r w:rsidR="00242B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стимулирующей надбавки и премии за выполнение особо важных и срочных работ библиотекарям в сумме 23 223,04 рублей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13D19878" w14:textId="126D6BB3" w:rsidR="00505172" w:rsidRDefault="00505172" w:rsidP="005051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42B28">
        <w:rPr>
          <w:rFonts w:ascii="Times New Roman" w:hAnsi="Times New Roman"/>
          <w:color w:val="000000"/>
          <w:sz w:val="28"/>
          <w:szCs w:val="28"/>
        </w:rPr>
        <w:t>приведены в соответствие постановления Главы Колпашевского района от 25.05.2015 № 100 «Об утверждении Положения о системе оплаты труда руководителей, их заместителей и главных бухгалтеров муниципальных учреждений культуры Колпашевского района» и от 05.07.2017 № 129 «Об утверждении Положения о системе оплаты труда работников муниципальных учреждений культуры Колпашевского района»;</w:t>
      </w:r>
    </w:p>
    <w:p w14:paraId="0AC9697A" w14:textId="0BF0566B" w:rsidR="00242B28" w:rsidRDefault="00242B28" w:rsidP="005051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приведены в соответствие локальные нормативные акты учреждения в соответствии с действующим законодательством.</w:t>
      </w:r>
    </w:p>
    <w:p w14:paraId="7A852FF7" w14:textId="0500A0CC" w:rsidR="0040137C" w:rsidRDefault="0040137C" w:rsidP="004013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137C">
        <w:rPr>
          <w:rFonts w:ascii="Times New Roman" w:hAnsi="Times New Roman"/>
          <w:color w:val="000000"/>
          <w:sz w:val="28"/>
          <w:szCs w:val="28"/>
        </w:rPr>
        <w:t xml:space="preserve">В отчетном периоде средства в сумме </w:t>
      </w:r>
      <w:r w:rsidR="0097465C">
        <w:rPr>
          <w:rFonts w:ascii="Times New Roman" w:hAnsi="Times New Roman"/>
          <w:color w:val="000000"/>
          <w:sz w:val="28"/>
          <w:szCs w:val="28"/>
        </w:rPr>
        <w:t>23,2</w:t>
      </w:r>
      <w:r w:rsidRPr="004013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137C">
        <w:rPr>
          <w:rFonts w:ascii="Times New Roman" w:hAnsi="Times New Roman"/>
          <w:color w:val="000000"/>
          <w:sz w:val="28"/>
          <w:szCs w:val="28"/>
        </w:rPr>
        <w:t>тыс.рублей</w:t>
      </w:r>
      <w:proofErr w:type="spellEnd"/>
      <w:proofErr w:type="gramEnd"/>
      <w:r w:rsidRPr="0040137C">
        <w:rPr>
          <w:rFonts w:ascii="Times New Roman" w:hAnsi="Times New Roman"/>
          <w:color w:val="000000"/>
          <w:sz w:val="28"/>
          <w:szCs w:val="28"/>
        </w:rPr>
        <w:t xml:space="preserve"> поступили в бюджет муниципального образования «Колпашевский район». </w:t>
      </w:r>
    </w:p>
    <w:p w14:paraId="470E235D" w14:textId="77777777" w:rsidR="00367DEA" w:rsidRPr="0040137C" w:rsidRDefault="00367DEA" w:rsidP="004013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8CC2CE" w14:textId="61261815" w:rsidR="00367DEA" w:rsidRDefault="00367DEA" w:rsidP="00367D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2754">
        <w:rPr>
          <w:rFonts w:ascii="Times New Roman" w:hAnsi="Times New Roman"/>
          <w:b/>
          <w:color w:val="000000"/>
          <w:sz w:val="28"/>
          <w:szCs w:val="28"/>
        </w:rPr>
        <w:t>2.2. Экспертно</w:t>
      </w:r>
      <w:r w:rsidR="0097465C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E92754">
        <w:rPr>
          <w:rFonts w:ascii="Times New Roman" w:hAnsi="Times New Roman"/>
          <w:b/>
          <w:color w:val="000000"/>
          <w:sz w:val="28"/>
          <w:szCs w:val="28"/>
        </w:rPr>
        <w:t>аналитические мероприятия</w:t>
      </w:r>
    </w:p>
    <w:p w14:paraId="1B19FDA1" w14:textId="77777777" w:rsidR="00367DEA" w:rsidRPr="00405C8C" w:rsidRDefault="00367DEA" w:rsidP="00367DEA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F23C415" w14:textId="3FCB494D" w:rsidR="00367DEA" w:rsidRDefault="00367DEA" w:rsidP="00367D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В рамках экспертно-</w:t>
      </w:r>
      <w:r>
        <w:rPr>
          <w:rFonts w:ascii="Times New Roman" w:hAnsi="Times New Roman"/>
          <w:color w:val="000000"/>
          <w:sz w:val="28"/>
          <w:szCs w:val="28"/>
        </w:rPr>
        <w:t>аналитической деятельности Счё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тной палатой проведено в отчетном периоде </w:t>
      </w:r>
      <w:r w:rsidR="0015367C">
        <w:rPr>
          <w:rFonts w:ascii="Times New Roman" w:hAnsi="Times New Roman"/>
          <w:color w:val="000000"/>
          <w:sz w:val="28"/>
          <w:szCs w:val="28"/>
        </w:rPr>
        <w:t>55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мероприятий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A26351E" w14:textId="7A27D468" w:rsidR="00367DEA" w:rsidRPr="00E92754" w:rsidRDefault="00367DEA" w:rsidP="00367D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одготовлено </w:t>
      </w:r>
      <w:r w:rsidRPr="008349AF">
        <w:rPr>
          <w:rFonts w:ascii="Times New Roman" w:hAnsi="Times New Roman"/>
          <w:color w:val="000000"/>
          <w:sz w:val="28"/>
          <w:szCs w:val="28"/>
        </w:rPr>
        <w:t>2</w:t>
      </w:r>
      <w:r w:rsidR="008349AF">
        <w:rPr>
          <w:rFonts w:ascii="Times New Roman" w:hAnsi="Times New Roman"/>
          <w:color w:val="000000"/>
          <w:sz w:val="28"/>
          <w:szCs w:val="28"/>
        </w:rPr>
        <w:t>5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заключений по проектам нормативных правовых актов органов местного самоуправления, из них:</w:t>
      </w:r>
    </w:p>
    <w:p w14:paraId="16D0916C" w14:textId="6C9A1697" w:rsidR="00367DEA" w:rsidRPr="00E92754" w:rsidRDefault="00367DEA" w:rsidP="00367DE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35ABE">
        <w:rPr>
          <w:rFonts w:ascii="Times New Roman" w:hAnsi="Times New Roman"/>
          <w:color w:val="000000"/>
          <w:sz w:val="28"/>
          <w:szCs w:val="28"/>
        </w:rPr>
        <w:t>6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по р</w:t>
      </w:r>
      <w:r>
        <w:rPr>
          <w:rFonts w:ascii="Times New Roman" w:hAnsi="Times New Roman"/>
          <w:color w:val="000000"/>
          <w:sz w:val="28"/>
          <w:szCs w:val="28"/>
        </w:rPr>
        <w:t>езультатам внешней проверки отчё</w:t>
      </w:r>
      <w:r w:rsidRPr="00E92754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ов об исполнении бюджетов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/>
          <w:color w:val="000000"/>
          <w:sz w:val="28"/>
          <w:szCs w:val="28"/>
        </w:rPr>
        <w:t>униципальных образований за 202</w:t>
      </w:r>
      <w:r w:rsidR="00535ABE">
        <w:rPr>
          <w:rFonts w:ascii="Times New Roman" w:hAnsi="Times New Roman"/>
          <w:color w:val="000000"/>
          <w:sz w:val="28"/>
          <w:szCs w:val="28"/>
        </w:rPr>
        <w:t>4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год;</w:t>
      </w:r>
    </w:p>
    <w:p w14:paraId="5A67A7B0" w14:textId="44A34537" w:rsidR="00367DEA" w:rsidRDefault="00367DEA" w:rsidP="00367DE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35ABE">
        <w:rPr>
          <w:rFonts w:ascii="Times New Roman" w:hAnsi="Times New Roman"/>
          <w:color w:val="000000"/>
          <w:sz w:val="28"/>
          <w:szCs w:val="28"/>
        </w:rPr>
        <w:t>12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по результатам экспертизы проекта решения о внесении изменений в бюджет муниципального образования «Колпашевский район» 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535ABE">
        <w:rPr>
          <w:rFonts w:ascii="Times New Roman" w:hAnsi="Times New Roman"/>
          <w:color w:val="000000"/>
          <w:sz w:val="28"/>
          <w:szCs w:val="28"/>
        </w:rPr>
        <w:t>5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год;</w:t>
      </w:r>
    </w:p>
    <w:p w14:paraId="5598E167" w14:textId="08FD0A01" w:rsidR="00367DEA" w:rsidRDefault="00367DEA" w:rsidP="00367DE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7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по результатам экспертизы проекта бюджета муниципальных образований 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535ABE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2754">
        <w:rPr>
          <w:rFonts w:ascii="Times New Roman" w:hAnsi="Times New Roman"/>
          <w:color w:val="000000"/>
          <w:sz w:val="28"/>
          <w:szCs w:val="28"/>
        </w:rPr>
        <w:t>год</w:t>
      </w:r>
      <w:r>
        <w:rPr>
          <w:rFonts w:ascii="Times New Roman" w:hAnsi="Times New Roman"/>
          <w:color w:val="000000"/>
          <w:sz w:val="28"/>
          <w:szCs w:val="28"/>
        </w:rPr>
        <w:t xml:space="preserve"> и на плановый период 202</w:t>
      </w:r>
      <w:r w:rsidR="00535ABE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535ABE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</w:t>
      </w:r>
      <w:r w:rsidRPr="00E92754">
        <w:rPr>
          <w:rFonts w:ascii="Times New Roman" w:hAnsi="Times New Roman"/>
          <w:color w:val="000000"/>
          <w:sz w:val="28"/>
          <w:szCs w:val="28"/>
        </w:rPr>
        <w:t>.</w:t>
      </w:r>
    </w:p>
    <w:p w14:paraId="4D417EFF" w14:textId="18D2D14F" w:rsidR="00367DEA" w:rsidRDefault="00367DEA" w:rsidP="00367D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Кроме того, в отчетном периоде проведено </w:t>
      </w:r>
      <w:r w:rsidR="00535ABE">
        <w:rPr>
          <w:rFonts w:ascii="Times New Roman" w:hAnsi="Times New Roman"/>
          <w:color w:val="000000"/>
          <w:sz w:val="28"/>
          <w:szCs w:val="28"/>
        </w:rPr>
        <w:t>три</w:t>
      </w:r>
      <w:r>
        <w:rPr>
          <w:rFonts w:ascii="Times New Roman" w:hAnsi="Times New Roman"/>
          <w:color w:val="000000"/>
          <w:sz w:val="28"/>
          <w:szCs w:val="28"/>
        </w:rPr>
        <w:t xml:space="preserve"> экспертно-аналитических мероприятия:</w:t>
      </w:r>
    </w:p>
    <w:p w14:paraId="38B97594" w14:textId="77777777" w:rsidR="00FF35D6" w:rsidRDefault="00367DEA" w:rsidP="00FF35D6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="00535ABE">
        <w:rPr>
          <w:color w:val="000000"/>
          <w:sz w:val="28"/>
          <w:szCs w:val="28"/>
        </w:rPr>
        <w:t>Анализ льгот по налогам, формирующим доходы консолидированного бюджета Томской области</w:t>
      </w:r>
      <w:r w:rsidR="008349AF">
        <w:rPr>
          <w:color w:val="000000"/>
          <w:sz w:val="28"/>
          <w:szCs w:val="28"/>
        </w:rPr>
        <w:t>» по результатам которого</w:t>
      </w:r>
      <w:r w:rsidR="00150118">
        <w:rPr>
          <w:sz w:val="28"/>
          <w:szCs w:val="28"/>
        </w:rPr>
        <w:t xml:space="preserve"> </w:t>
      </w:r>
      <w:r w:rsidR="00150118">
        <w:rPr>
          <w:sz w:val="28"/>
          <w:szCs w:val="28"/>
        </w:rPr>
        <w:lastRenderedPageBreak/>
        <w:t>Главам муниципальных образований направлена аналитическая записка (справка) с предложени</w:t>
      </w:r>
      <w:r w:rsidR="00FF35D6">
        <w:rPr>
          <w:sz w:val="28"/>
          <w:szCs w:val="28"/>
        </w:rPr>
        <w:t>ями:</w:t>
      </w:r>
    </w:p>
    <w:p w14:paraId="29D0AF6E" w14:textId="3AD28C27" w:rsidR="00FF35D6" w:rsidRPr="00C62DED" w:rsidRDefault="00FF35D6" w:rsidP="00FF35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</w:t>
      </w:r>
      <w:r w:rsidRPr="00C62DED">
        <w:rPr>
          <w:rFonts w:ascii="Times New Roman" w:hAnsi="Times New Roman"/>
          <w:sz w:val="28"/>
          <w:szCs w:val="28"/>
        </w:rPr>
        <w:t xml:space="preserve">униципальному образованию «Колпашевское городское поселение» привести размеры налоговых ставок в отношении объектов налогообложения, включенных в перечень, определяемый в соответствии с </w:t>
      </w:r>
      <w:hyperlink r:id="rId8" w:anchor="/document/10900200/entry/37827" w:history="1">
        <w:r w:rsidRPr="00C62DED">
          <w:rPr>
            <w:rFonts w:ascii="Times New Roman" w:hAnsi="Times New Roman"/>
            <w:sz w:val="28"/>
            <w:szCs w:val="28"/>
          </w:rPr>
          <w:t>пунктом 7 статьи 378.2</w:t>
        </w:r>
      </w:hyperlink>
      <w:r w:rsidRPr="00C62DED">
        <w:rPr>
          <w:rFonts w:ascii="Times New Roman" w:hAnsi="Times New Roman"/>
          <w:sz w:val="28"/>
          <w:szCs w:val="28"/>
        </w:rPr>
        <w:t xml:space="preserve"> НК РФ, в отношении объектов налогообложения, предусмотренных </w:t>
      </w:r>
      <w:hyperlink r:id="rId9" w:anchor="/document/10900200/entry/3782102" w:history="1">
        <w:r w:rsidRPr="00C62DED">
          <w:rPr>
            <w:rFonts w:ascii="Times New Roman" w:hAnsi="Times New Roman"/>
            <w:sz w:val="28"/>
            <w:szCs w:val="28"/>
          </w:rPr>
          <w:t>абзацем вторым пункта 10 статьи 378.2</w:t>
        </w:r>
      </w:hyperlink>
      <w:r w:rsidRPr="00C62DED">
        <w:rPr>
          <w:rFonts w:ascii="Times New Roman" w:hAnsi="Times New Roman"/>
          <w:sz w:val="28"/>
          <w:szCs w:val="28"/>
        </w:rPr>
        <w:t xml:space="preserve"> НК РФ в соответствие с размерами, определенными ст. 406 Налогового кодекса</w:t>
      </w:r>
      <w:r>
        <w:rPr>
          <w:rFonts w:ascii="Times New Roman" w:hAnsi="Times New Roman"/>
          <w:sz w:val="28"/>
          <w:szCs w:val="28"/>
        </w:rPr>
        <w:t>;</w:t>
      </w:r>
    </w:p>
    <w:p w14:paraId="45E6DB76" w14:textId="4C0B5EE6" w:rsidR="00FF35D6" w:rsidRPr="00C62DED" w:rsidRDefault="00FF35D6" w:rsidP="00FF35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C62DED">
        <w:rPr>
          <w:rFonts w:ascii="Times New Roman" w:hAnsi="Times New Roman"/>
          <w:sz w:val="28"/>
          <w:szCs w:val="28"/>
        </w:rPr>
        <w:t>униципальному образованию «</w:t>
      </w:r>
      <w:proofErr w:type="spellStart"/>
      <w:r w:rsidRPr="00C62DED">
        <w:rPr>
          <w:rFonts w:ascii="Times New Roman" w:hAnsi="Times New Roman"/>
          <w:sz w:val="28"/>
          <w:szCs w:val="28"/>
        </w:rPr>
        <w:t>Новогоренское</w:t>
      </w:r>
      <w:proofErr w:type="spellEnd"/>
      <w:r w:rsidRPr="00C62DED">
        <w:rPr>
          <w:rFonts w:ascii="Times New Roman" w:hAnsi="Times New Roman"/>
          <w:sz w:val="28"/>
          <w:szCs w:val="28"/>
        </w:rPr>
        <w:t xml:space="preserve"> сельское поселение» привести налоговую ставку в отношении объектов налогообложения, кадастровая стоимость каждого из которых превышает 300 </w:t>
      </w:r>
      <w:proofErr w:type="spellStart"/>
      <w:r w:rsidRPr="00C62DED">
        <w:rPr>
          <w:rFonts w:ascii="Times New Roman" w:hAnsi="Times New Roman"/>
          <w:sz w:val="28"/>
          <w:szCs w:val="28"/>
        </w:rPr>
        <w:t>млн.руб</w:t>
      </w:r>
      <w:proofErr w:type="spellEnd"/>
      <w:r w:rsidRPr="00C62DED">
        <w:rPr>
          <w:rFonts w:ascii="Times New Roman" w:hAnsi="Times New Roman"/>
          <w:sz w:val="28"/>
          <w:szCs w:val="28"/>
        </w:rPr>
        <w:t>., в соответствие с пунктом 2.1 части 2 статьи 406 НК РФ, установив её в размере 2,5%.</w:t>
      </w:r>
    </w:p>
    <w:p w14:paraId="447E292A" w14:textId="42A054EC" w:rsidR="00FF35D6" w:rsidRPr="00C62DED" w:rsidRDefault="00FF35D6" w:rsidP="00FF35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C62DED">
        <w:rPr>
          <w:rFonts w:ascii="Times New Roman" w:hAnsi="Times New Roman"/>
          <w:sz w:val="28"/>
          <w:szCs w:val="28"/>
        </w:rPr>
        <w:t>униципальным образованиям привести решения об установлении налоговых льгот по земельному налогу в виде освобождения от уплаты налога и (или) пониженных ставок в соответствие с требованиями статьи 3 Налогового кодекса в части исключения дифференциации налоговых льгот по форме собственности.</w:t>
      </w:r>
    </w:p>
    <w:p w14:paraId="60BF1158" w14:textId="29D19998" w:rsidR="008349AF" w:rsidRPr="00150118" w:rsidRDefault="00150118" w:rsidP="00150118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Следует отметить, что предложения Счетной палаты о рассмотрении данного вопроса нашли понимание у органов местного самоуправления. </w:t>
      </w:r>
      <w:r w:rsidR="00CC322B">
        <w:rPr>
          <w:color w:val="000000" w:themeColor="text1"/>
          <w:sz w:val="28"/>
          <w:szCs w:val="28"/>
        </w:rPr>
        <w:t xml:space="preserve">Во всех муниципальных образованиях </w:t>
      </w:r>
      <w:r w:rsidR="0068628B">
        <w:rPr>
          <w:color w:val="000000" w:themeColor="text1"/>
          <w:sz w:val="28"/>
          <w:szCs w:val="28"/>
        </w:rPr>
        <w:t>решения приведены в соответствие с требованиями Налогового кодекса Российской Федерации.</w:t>
      </w:r>
    </w:p>
    <w:p w14:paraId="09175617" w14:textId="112BAF64" w:rsidR="000A0F4E" w:rsidRDefault="008349AF" w:rsidP="000A0F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8628B">
        <w:rPr>
          <w:rFonts w:ascii="Times New Roman" w:hAnsi="Times New Roman"/>
          <w:color w:val="000000"/>
          <w:sz w:val="28"/>
          <w:szCs w:val="28"/>
        </w:rPr>
        <w:t>«</w:t>
      </w:r>
      <w:r w:rsidR="0068628B" w:rsidRPr="0068628B">
        <w:rPr>
          <w:rFonts w:ascii="Times New Roman" w:hAnsi="Times New Roman"/>
          <w:color w:val="000000"/>
          <w:sz w:val="28"/>
          <w:szCs w:val="28"/>
        </w:rPr>
        <w:t>Анализ эффективного использования средств субсидии юридическим лицам, индивидуальным предпринимателям, а также физическим лицам – производителям товаров, работ, услуг в целях финансового обеспечения затрат (в рамках соглашения о предоставлении муниципальному унитарному предприятию «</w:t>
      </w:r>
      <w:proofErr w:type="spellStart"/>
      <w:r w:rsidR="0068628B" w:rsidRPr="0068628B">
        <w:rPr>
          <w:rFonts w:ascii="Times New Roman" w:hAnsi="Times New Roman"/>
          <w:color w:val="000000"/>
          <w:sz w:val="28"/>
          <w:szCs w:val="28"/>
        </w:rPr>
        <w:t>Дальсервис</w:t>
      </w:r>
      <w:proofErr w:type="spellEnd"/>
      <w:r w:rsidR="0068628B" w:rsidRPr="0068628B">
        <w:rPr>
          <w:rFonts w:ascii="Times New Roman" w:hAnsi="Times New Roman"/>
          <w:color w:val="000000"/>
          <w:sz w:val="28"/>
          <w:szCs w:val="28"/>
        </w:rPr>
        <w:t xml:space="preserve">» на организацию теплоснабжения) в 2024 году из бюджета </w:t>
      </w:r>
      <w:r w:rsidR="000A0F4E">
        <w:rPr>
          <w:rFonts w:ascii="Times New Roman" w:hAnsi="Times New Roman"/>
          <w:color w:val="000000"/>
          <w:sz w:val="28"/>
          <w:szCs w:val="28"/>
        </w:rPr>
        <w:t xml:space="preserve">МО «Новоселовское сельское поселение» </w:t>
      </w:r>
      <w:r w:rsidR="00992C3A">
        <w:rPr>
          <w:rFonts w:ascii="Times New Roman" w:hAnsi="Times New Roman"/>
          <w:color w:val="000000"/>
          <w:sz w:val="28"/>
          <w:szCs w:val="28"/>
        </w:rPr>
        <w:t>по результат</w:t>
      </w:r>
      <w:r w:rsidR="00F35976">
        <w:rPr>
          <w:rFonts w:ascii="Times New Roman" w:hAnsi="Times New Roman"/>
          <w:color w:val="000000"/>
          <w:sz w:val="28"/>
          <w:szCs w:val="28"/>
        </w:rPr>
        <w:t>а</w:t>
      </w:r>
      <w:r w:rsidR="00992C3A">
        <w:rPr>
          <w:rFonts w:ascii="Times New Roman" w:hAnsi="Times New Roman"/>
          <w:color w:val="000000"/>
          <w:sz w:val="28"/>
          <w:szCs w:val="28"/>
        </w:rPr>
        <w:t>м которого предложено</w:t>
      </w:r>
      <w:r w:rsidR="000A0F4E">
        <w:t>:</w:t>
      </w:r>
    </w:p>
    <w:p w14:paraId="0C4AC2D4" w14:textId="77777777" w:rsidR="000A0F4E" w:rsidRPr="00D212A4" w:rsidRDefault="000A0F4E" w:rsidP="000A0F4E">
      <w:pPr>
        <w:pStyle w:val="a3"/>
        <w:numPr>
          <w:ilvl w:val="0"/>
          <w:numId w:val="43"/>
        </w:numPr>
        <w:ind w:left="0" w:firstLine="709"/>
        <w:jc w:val="both"/>
        <w:rPr>
          <w:bCs/>
          <w:sz w:val="28"/>
          <w:szCs w:val="28"/>
        </w:rPr>
      </w:pPr>
      <w:r w:rsidRPr="00D212A4">
        <w:rPr>
          <w:rFonts w:eastAsia="Calibri"/>
          <w:bCs/>
          <w:sz w:val="28"/>
          <w:szCs w:val="28"/>
        </w:rPr>
        <w:t xml:space="preserve">Администрации Новоселовского сельского поселения принять меры к устранению отмеченных недостатков Порядка </w:t>
      </w:r>
      <w:r w:rsidRPr="00D212A4">
        <w:rPr>
          <w:sz w:val="28"/>
          <w:szCs w:val="28"/>
        </w:rPr>
        <w:t>предоставления субсидии юридическим лицам, индивидуальным предпринимателям, а также физическим лицам – производителям товаров, работ, услуг в целях финансового обеспечения затрат</w:t>
      </w:r>
      <w:r w:rsidRPr="00D212A4">
        <w:rPr>
          <w:rFonts w:eastAsia="Calibri"/>
          <w:bCs/>
          <w:sz w:val="28"/>
          <w:szCs w:val="28"/>
        </w:rPr>
        <w:t xml:space="preserve">.  </w:t>
      </w:r>
    </w:p>
    <w:p w14:paraId="2B210261" w14:textId="77777777" w:rsidR="000A0F4E" w:rsidRPr="00D212A4" w:rsidRDefault="000A0F4E" w:rsidP="000A0F4E">
      <w:pPr>
        <w:pStyle w:val="a3"/>
        <w:numPr>
          <w:ilvl w:val="0"/>
          <w:numId w:val="43"/>
        </w:numPr>
        <w:ind w:left="0" w:firstLine="709"/>
        <w:jc w:val="both"/>
        <w:rPr>
          <w:bCs/>
          <w:sz w:val="28"/>
          <w:szCs w:val="28"/>
        </w:rPr>
      </w:pPr>
      <w:r w:rsidRPr="00D212A4">
        <w:rPr>
          <w:rFonts w:eastAsia="Calibri"/>
          <w:bCs/>
          <w:sz w:val="28"/>
          <w:szCs w:val="28"/>
        </w:rPr>
        <w:t xml:space="preserve">При заключении соглашений о предоставлении субсидии устанавливать условия, определенные порядком </w:t>
      </w:r>
      <w:r w:rsidRPr="00D212A4">
        <w:rPr>
          <w:sz w:val="28"/>
          <w:szCs w:val="28"/>
        </w:rPr>
        <w:t>предоставления субсидии юридическим лицам, индивидуальным предпринимателям, а также физическим лицам – производителям товаров, работ, услуг в целях финансового обеспечения затрат</w:t>
      </w:r>
      <w:r w:rsidRPr="00D212A4">
        <w:rPr>
          <w:rFonts w:eastAsia="Calibri"/>
          <w:bCs/>
          <w:sz w:val="28"/>
          <w:szCs w:val="28"/>
        </w:rPr>
        <w:t>.</w:t>
      </w:r>
      <w:r w:rsidRPr="00D212A4">
        <w:rPr>
          <w:sz w:val="28"/>
          <w:szCs w:val="28"/>
        </w:rPr>
        <w:t xml:space="preserve"> </w:t>
      </w:r>
    </w:p>
    <w:p w14:paraId="2C650208" w14:textId="77777777" w:rsidR="000A0F4E" w:rsidRPr="00D212A4" w:rsidRDefault="000A0F4E" w:rsidP="000A0F4E">
      <w:pPr>
        <w:pStyle w:val="a3"/>
        <w:numPr>
          <w:ilvl w:val="0"/>
          <w:numId w:val="43"/>
        </w:numPr>
        <w:ind w:left="0" w:firstLine="709"/>
        <w:jc w:val="both"/>
        <w:rPr>
          <w:bCs/>
          <w:sz w:val="28"/>
          <w:szCs w:val="28"/>
        </w:rPr>
      </w:pPr>
      <w:r w:rsidRPr="00D212A4">
        <w:rPr>
          <w:bCs/>
          <w:sz w:val="28"/>
          <w:szCs w:val="28"/>
        </w:rPr>
        <w:t>Рекомендовать МУП «</w:t>
      </w:r>
      <w:proofErr w:type="spellStart"/>
      <w:r w:rsidRPr="00D212A4">
        <w:rPr>
          <w:bCs/>
          <w:sz w:val="28"/>
          <w:szCs w:val="28"/>
        </w:rPr>
        <w:t>Дальсервис</w:t>
      </w:r>
      <w:proofErr w:type="spellEnd"/>
      <w:r w:rsidRPr="00D212A4">
        <w:rPr>
          <w:bCs/>
          <w:sz w:val="28"/>
          <w:szCs w:val="28"/>
        </w:rPr>
        <w:t xml:space="preserve">» строго руководствоваться положениями </w:t>
      </w:r>
      <w:r w:rsidRPr="00D212A4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212A4">
        <w:rPr>
          <w:bCs/>
          <w:sz w:val="28"/>
          <w:szCs w:val="28"/>
        </w:rPr>
        <w:t>.</w:t>
      </w:r>
    </w:p>
    <w:p w14:paraId="6AF95C49" w14:textId="13C64FE9" w:rsidR="000A0F4E" w:rsidRPr="000A0F4E" w:rsidRDefault="008349AF" w:rsidP="000A0F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«Анализ </w:t>
      </w:r>
      <w:r w:rsidR="000A0F4E">
        <w:rPr>
          <w:rFonts w:ascii="Times New Roman" w:hAnsi="Times New Roman"/>
          <w:color w:val="000000"/>
          <w:sz w:val="28"/>
          <w:szCs w:val="28"/>
        </w:rPr>
        <w:t>использования средств иных межбюджетных трансфертов, выделенных бюджету муниципального образования «Саровское сельское поселение»</w:t>
      </w:r>
      <w:r w:rsidR="00150118">
        <w:rPr>
          <w:rFonts w:ascii="Times New Roman" w:hAnsi="Times New Roman"/>
          <w:color w:val="000000"/>
          <w:sz w:val="28"/>
          <w:szCs w:val="28"/>
        </w:rPr>
        <w:t xml:space="preserve"> по результатам выполнения мероприяти</w:t>
      </w:r>
      <w:r w:rsidR="000A0F4E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0A0F4E" w:rsidRPr="000A0F4E">
        <w:rPr>
          <w:rFonts w:ascii="Times New Roman" w:hAnsi="Times New Roman"/>
          <w:sz w:val="28"/>
          <w:szCs w:val="28"/>
        </w:rPr>
        <w:t xml:space="preserve">выявлены факты нарушений и недостатков, свидетельствующие о необходимости усиления внутреннего финансового контроля. </w:t>
      </w:r>
    </w:p>
    <w:p w14:paraId="7B56505B" w14:textId="42A9BD31" w:rsidR="000A0F4E" w:rsidRPr="000A0F4E" w:rsidRDefault="00972564" w:rsidP="000A0F4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A0F4E" w:rsidRPr="000A0F4E">
        <w:rPr>
          <w:rFonts w:ascii="Times New Roman" w:hAnsi="Times New Roman"/>
          <w:sz w:val="28"/>
          <w:szCs w:val="28"/>
        </w:rPr>
        <w:t>становлены нарушения законодательства в сфере бухгалтерского учета и законодательства о закупках. Установлены признаки неправомерных расходов</w:t>
      </w:r>
      <w:r w:rsidR="000A0F4E">
        <w:rPr>
          <w:rFonts w:ascii="Times New Roman" w:hAnsi="Times New Roman"/>
          <w:sz w:val="28"/>
          <w:szCs w:val="28"/>
        </w:rPr>
        <w:t xml:space="preserve"> в сумме 425,0 </w:t>
      </w:r>
      <w:proofErr w:type="spellStart"/>
      <w:proofErr w:type="gramStart"/>
      <w:r w:rsidR="000A0F4E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="000A0F4E" w:rsidRPr="000A0F4E">
        <w:rPr>
          <w:rFonts w:ascii="Times New Roman" w:hAnsi="Times New Roman"/>
          <w:sz w:val="28"/>
          <w:szCs w:val="28"/>
        </w:rPr>
        <w:t xml:space="preserve">, что противоречит </w:t>
      </w:r>
      <w:r w:rsidR="000A0F4E" w:rsidRPr="000A0F4E">
        <w:rPr>
          <w:rFonts w:ascii="Times New Roman" w:hAnsi="Times New Roman"/>
          <w:iCs/>
          <w:color w:val="000000"/>
          <w:sz w:val="28"/>
          <w:szCs w:val="28"/>
        </w:rPr>
        <w:t xml:space="preserve">принципу эффективности использования бюджетных средств, определенному ст. 34 БК РФ. </w:t>
      </w:r>
    </w:p>
    <w:p w14:paraId="3955AC5E" w14:textId="77777777" w:rsidR="000A0F4E" w:rsidRPr="000A0F4E" w:rsidRDefault="000A0F4E" w:rsidP="000A0F4E">
      <w:pPr>
        <w:pStyle w:val="ConsNormal"/>
        <w:widowControl/>
        <w:autoSpaceDN w:val="0"/>
        <w:adjustRightInd w:val="0"/>
        <w:ind w:firstLine="567"/>
        <w:rPr>
          <w:rFonts w:ascii="Times New Roman" w:hAnsi="Times New Roman"/>
          <w:bCs/>
          <w:color w:val="auto"/>
          <w:lang w:eastAsia="ru-RU"/>
        </w:rPr>
      </w:pPr>
      <w:r w:rsidRPr="000A0F4E">
        <w:rPr>
          <w:rFonts w:ascii="Times New Roman" w:hAnsi="Times New Roman"/>
          <w:bCs/>
          <w:color w:val="auto"/>
          <w:lang w:eastAsia="ru-RU"/>
        </w:rPr>
        <w:t>В части ИМБТ на награждение сельского поселения, победителя районной сельскохозяйственной ярмарки «Дары осени» установлено, что а</w:t>
      </w:r>
      <w:r w:rsidRPr="000A0F4E">
        <w:rPr>
          <w:rFonts w:ascii="Times New Roman" w:hAnsi="Times New Roman"/>
          <w:iCs/>
        </w:rPr>
        <w:t>дминистрацией Саровского сельского поселения не регламентирован порядок осуществления вручения ценных подарков, сувениров и призов в рамках проведенного мероприятия.</w:t>
      </w:r>
    </w:p>
    <w:p w14:paraId="6B25D278" w14:textId="77777777" w:rsidR="000A0F4E" w:rsidRPr="000A0F4E" w:rsidRDefault="000A0F4E" w:rsidP="000A0F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0F4E">
        <w:rPr>
          <w:rFonts w:ascii="Times New Roman" w:hAnsi="Times New Roman"/>
          <w:iCs/>
          <w:color w:val="000000"/>
          <w:sz w:val="28"/>
          <w:szCs w:val="28"/>
        </w:rPr>
        <w:t>При использовании средств иного межбюджетного трансферта н</w:t>
      </w:r>
      <w:r w:rsidRPr="000A0F4E">
        <w:rPr>
          <w:rFonts w:ascii="Times New Roman" w:eastAsia="Calibri" w:hAnsi="Times New Roman"/>
          <w:sz w:val="28"/>
          <w:szCs w:val="28"/>
        </w:rPr>
        <w:t>а обеспечение условий для развития физической культуры и массового спорта выявлены факты у</w:t>
      </w:r>
      <w:r w:rsidRPr="000A0F4E">
        <w:rPr>
          <w:rFonts w:ascii="Times New Roman" w:hAnsi="Times New Roman"/>
          <w:color w:val="1A1A1A"/>
          <w:sz w:val="28"/>
          <w:szCs w:val="28"/>
        </w:rPr>
        <w:t xml:space="preserve">становления выплат в отсутствии системы показателей и условий премирования, что противоречит принципу эффективности использования бюджетных средств, определенному ст. 34 БК РФ, </w:t>
      </w:r>
      <w:r w:rsidRPr="000A0F4E">
        <w:rPr>
          <w:rFonts w:ascii="Times New Roman" w:eastAsia="Calibri" w:hAnsi="Times New Roman"/>
          <w:sz w:val="28"/>
          <w:szCs w:val="28"/>
        </w:rPr>
        <w:t>нарушения ст. 136 Трудового кодекса Российской Федерации.</w:t>
      </w:r>
      <w:r w:rsidRPr="000A0F4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A0F4E">
        <w:rPr>
          <w:rFonts w:ascii="Times New Roman" w:hAnsi="Times New Roman"/>
          <w:sz w:val="28"/>
          <w:szCs w:val="28"/>
        </w:rPr>
        <w:t xml:space="preserve"> </w:t>
      </w:r>
    </w:p>
    <w:p w14:paraId="26C26EFD" w14:textId="330C9053" w:rsidR="000A0F4E" w:rsidRDefault="000A0F4E" w:rsidP="000A0F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0F4E">
        <w:rPr>
          <w:rFonts w:ascii="Times New Roman" w:hAnsi="Times New Roman"/>
          <w:sz w:val="28"/>
          <w:szCs w:val="28"/>
        </w:rPr>
        <w:t>В целях повышения эффективности использования бюджетных средств главе администрации Саровского сельского поселения предложено проанализировать результаты мероприятия, принять меры по устранению выявленных нарушений и недостатков, в том числе нарушений законодательства в сфере закупок, а также исключению подобных фактов в дальнейшем.</w:t>
      </w:r>
    </w:p>
    <w:p w14:paraId="040984DE" w14:textId="6F3E6803" w:rsidR="000A0F4E" w:rsidRPr="00E4726A" w:rsidRDefault="000A0F4E" w:rsidP="00E472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результатам данного мероприятия направлено 1 обращение в компетентные органы (Колпашевская городская прокуратура). По результатам рассмотрения обращения принят</w:t>
      </w:r>
      <w:r w:rsidR="00E4726A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мер</w:t>
      </w:r>
      <w:r w:rsidR="00E4726A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прокурорского реагирования</w:t>
      </w:r>
      <w:r w:rsidR="00972564">
        <w:rPr>
          <w:rFonts w:ascii="Times New Roman" w:hAnsi="Times New Roman"/>
          <w:color w:val="000000"/>
          <w:sz w:val="28"/>
          <w:szCs w:val="28"/>
        </w:rPr>
        <w:t>, в отношении Главы Саровского сельского поселения возбуждено дело об административном правонарушении по ч.1 ст.7.32.5 КоАП РФ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72564">
        <w:rPr>
          <w:rFonts w:ascii="Times New Roman" w:hAnsi="Times New Roman"/>
          <w:color w:val="000000"/>
          <w:sz w:val="28"/>
          <w:szCs w:val="28"/>
        </w:rPr>
        <w:t xml:space="preserve"> По результатам рассмотрения дела вынесено предупреждение Главе Саровского сельского поселения.</w:t>
      </w:r>
    </w:p>
    <w:p w14:paraId="1CDF7B0B" w14:textId="48DE45E3" w:rsidR="00367DEA" w:rsidRPr="00001D2D" w:rsidRDefault="00367DEA" w:rsidP="000A0F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Информация об основных результатах экспертно-аналитических мероприятий отражена в приложении № 3 к настоящему отчёту.</w:t>
      </w:r>
    </w:p>
    <w:p w14:paraId="4480125D" w14:textId="1AC08B2B" w:rsidR="00367DEA" w:rsidRPr="00E92754" w:rsidRDefault="003C5CE1" w:rsidP="003C5CE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367DEA" w:rsidRPr="00E92754">
        <w:rPr>
          <w:rFonts w:ascii="Times New Roman" w:hAnsi="Times New Roman"/>
          <w:color w:val="000000"/>
          <w:sz w:val="28"/>
          <w:szCs w:val="28"/>
        </w:rPr>
        <w:t>По результатам проведенных экспертно</w:t>
      </w:r>
      <w:r w:rsidR="00E4726A">
        <w:rPr>
          <w:rFonts w:ascii="Times New Roman" w:hAnsi="Times New Roman"/>
          <w:color w:val="000000"/>
          <w:sz w:val="28"/>
          <w:szCs w:val="28"/>
        </w:rPr>
        <w:t>-</w:t>
      </w:r>
      <w:r w:rsidR="00367DEA" w:rsidRPr="00E92754">
        <w:rPr>
          <w:rFonts w:ascii="Times New Roman" w:hAnsi="Times New Roman"/>
          <w:color w:val="000000"/>
          <w:sz w:val="28"/>
          <w:szCs w:val="28"/>
        </w:rPr>
        <w:t>аналитических мероприятий выявлено:</w:t>
      </w:r>
    </w:p>
    <w:p w14:paraId="004D4A90" w14:textId="1491A9C5" w:rsidR="00367DEA" w:rsidRDefault="00E4726A" w:rsidP="003C5CE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83</w:t>
      </w:r>
      <w:r w:rsidR="00367DEA" w:rsidRPr="001A35D1">
        <w:rPr>
          <w:rFonts w:ascii="Times New Roman" w:hAnsi="Times New Roman"/>
          <w:color w:val="000000"/>
          <w:sz w:val="28"/>
          <w:szCs w:val="28"/>
        </w:rPr>
        <w:t xml:space="preserve"> нарушени</w:t>
      </w:r>
      <w:r w:rsidR="008349AF">
        <w:rPr>
          <w:rFonts w:ascii="Times New Roman" w:hAnsi="Times New Roman"/>
          <w:color w:val="000000"/>
          <w:sz w:val="28"/>
          <w:szCs w:val="28"/>
        </w:rPr>
        <w:t>я</w:t>
      </w:r>
      <w:r w:rsidR="00367DEA" w:rsidRPr="001A35D1">
        <w:rPr>
          <w:rFonts w:ascii="Times New Roman" w:hAnsi="Times New Roman"/>
          <w:color w:val="000000"/>
          <w:sz w:val="28"/>
          <w:szCs w:val="28"/>
        </w:rPr>
        <w:t xml:space="preserve"> и замечани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="00367DEA" w:rsidRPr="001A35D1">
        <w:rPr>
          <w:rFonts w:ascii="Times New Roman" w:hAnsi="Times New Roman"/>
          <w:color w:val="000000"/>
          <w:sz w:val="28"/>
          <w:szCs w:val="28"/>
        </w:rPr>
        <w:t>;</w:t>
      </w:r>
    </w:p>
    <w:p w14:paraId="30322272" w14:textId="714F02A6" w:rsidR="00367DEA" w:rsidRPr="001A35D1" w:rsidRDefault="00367DEA" w:rsidP="003C5CE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35D1">
        <w:rPr>
          <w:rFonts w:ascii="Times New Roman" w:hAnsi="Times New Roman"/>
          <w:color w:val="000000"/>
          <w:sz w:val="28"/>
          <w:szCs w:val="28"/>
        </w:rPr>
        <w:t xml:space="preserve">дано </w:t>
      </w:r>
      <w:r w:rsidR="00E4726A">
        <w:rPr>
          <w:rFonts w:ascii="Times New Roman" w:hAnsi="Times New Roman"/>
          <w:color w:val="000000"/>
          <w:sz w:val="28"/>
          <w:szCs w:val="28"/>
        </w:rPr>
        <w:t>38</w:t>
      </w:r>
      <w:r w:rsidRPr="001A35D1">
        <w:rPr>
          <w:rFonts w:ascii="Times New Roman" w:hAnsi="Times New Roman"/>
          <w:color w:val="000000"/>
          <w:sz w:val="28"/>
          <w:szCs w:val="28"/>
        </w:rPr>
        <w:t xml:space="preserve"> предложени</w:t>
      </w:r>
      <w:r w:rsidR="008349AF">
        <w:rPr>
          <w:rFonts w:ascii="Times New Roman" w:hAnsi="Times New Roman"/>
          <w:color w:val="000000"/>
          <w:sz w:val="28"/>
          <w:szCs w:val="28"/>
        </w:rPr>
        <w:t>й</w:t>
      </w:r>
      <w:r w:rsidRPr="001A35D1">
        <w:rPr>
          <w:rFonts w:ascii="Times New Roman" w:hAnsi="Times New Roman"/>
          <w:color w:val="000000"/>
          <w:sz w:val="28"/>
          <w:szCs w:val="28"/>
        </w:rPr>
        <w:t xml:space="preserve"> и рекомендаци</w:t>
      </w:r>
      <w:r w:rsidR="008349AF">
        <w:rPr>
          <w:rFonts w:ascii="Times New Roman" w:hAnsi="Times New Roman"/>
          <w:color w:val="000000"/>
          <w:sz w:val="28"/>
          <w:szCs w:val="28"/>
        </w:rPr>
        <w:t>й</w:t>
      </w:r>
      <w:r w:rsidRPr="001A35D1">
        <w:rPr>
          <w:rFonts w:ascii="Times New Roman" w:hAnsi="Times New Roman"/>
          <w:color w:val="000000"/>
          <w:sz w:val="28"/>
          <w:szCs w:val="28"/>
        </w:rPr>
        <w:t>, которые исходя из предоставленной объектами контроля информации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 в основном </w:t>
      </w:r>
      <w:r w:rsidRPr="001A35D1">
        <w:rPr>
          <w:rFonts w:ascii="Times New Roman" w:hAnsi="Times New Roman"/>
          <w:color w:val="000000"/>
          <w:sz w:val="28"/>
          <w:szCs w:val="28"/>
        </w:rPr>
        <w:t>учтены при принятии решений;</w:t>
      </w:r>
    </w:p>
    <w:p w14:paraId="0E6048BC" w14:textId="6A3F66C3" w:rsidR="00367DEA" w:rsidRPr="00E92754" w:rsidRDefault="00367DEA" w:rsidP="00367DE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 xml:space="preserve">нарушений на сумму </w:t>
      </w:r>
      <w:r w:rsidR="00E4726A">
        <w:rPr>
          <w:rFonts w:ascii="Times New Roman" w:hAnsi="Times New Roman"/>
          <w:color w:val="000000"/>
          <w:sz w:val="28"/>
          <w:szCs w:val="28"/>
        </w:rPr>
        <w:t>11 633,8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тыс. руб., в том числе: </w:t>
      </w:r>
    </w:p>
    <w:p w14:paraId="1ED30394" w14:textId="688118F9" w:rsidR="00367DEA" w:rsidRDefault="00367DEA" w:rsidP="00367DE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lastRenderedPageBreak/>
        <w:t xml:space="preserve">в части </w:t>
      </w:r>
      <w:r>
        <w:rPr>
          <w:rFonts w:ascii="Times New Roman" w:hAnsi="Times New Roman"/>
          <w:color w:val="000000"/>
          <w:sz w:val="28"/>
          <w:szCs w:val="28"/>
        </w:rPr>
        <w:t>нарушений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бухгалтерского уч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E92754">
        <w:rPr>
          <w:rFonts w:ascii="Times New Roman" w:hAnsi="Times New Roman"/>
          <w:color w:val="000000"/>
          <w:sz w:val="28"/>
          <w:szCs w:val="28"/>
        </w:rPr>
        <w:t>та</w:t>
      </w:r>
      <w:r>
        <w:rPr>
          <w:rFonts w:ascii="Times New Roman" w:hAnsi="Times New Roman"/>
          <w:color w:val="000000"/>
          <w:sz w:val="28"/>
          <w:szCs w:val="28"/>
        </w:rPr>
        <w:t xml:space="preserve"> (отчётности) </w:t>
      </w:r>
      <w:r w:rsidRPr="00E92754">
        <w:rPr>
          <w:rFonts w:ascii="Times New Roman" w:hAnsi="Times New Roman"/>
          <w:color w:val="000000"/>
          <w:sz w:val="28"/>
          <w:szCs w:val="28"/>
        </w:rPr>
        <w:t>при со</w:t>
      </w:r>
      <w:r>
        <w:rPr>
          <w:rFonts w:ascii="Times New Roman" w:hAnsi="Times New Roman"/>
          <w:color w:val="000000"/>
          <w:sz w:val="28"/>
          <w:szCs w:val="28"/>
        </w:rPr>
        <w:t>ставлении годовой бюджетной отчё</w:t>
      </w:r>
      <w:r w:rsidRPr="00E92754">
        <w:rPr>
          <w:rFonts w:ascii="Times New Roman" w:hAnsi="Times New Roman"/>
          <w:color w:val="000000"/>
          <w:sz w:val="28"/>
          <w:szCs w:val="28"/>
        </w:rPr>
        <w:t>тности за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E4726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год – </w:t>
      </w:r>
      <w:r w:rsidR="00E4726A">
        <w:rPr>
          <w:rFonts w:ascii="Times New Roman" w:hAnsi="Times New Roman"/>
          <w:color w:val="000000"/>
          <w:sz w:val="28"/>
          <w:szCs w:val="28"/>
        </w:rPr>
        <w:t>2 194,8</w:t>
      </w:r>
      <w:r w:rsidR="00303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2754">
        <w:rPr>
          <w:rFonts w:ascii="Times New Roman" w:hAnsi="Times New Roman"/>
          <w:color w:val="000000"/>
          <w:sz w:val="28"/>
          <w:szCs w:val="28"/>
        </w:rPr>
        <w:t>тыс. рублей;</w:t>
      </w:r>
    </w:p>
    <w:p w14:paraId="19F15B89" w14:textId="6CCFC628" w:rsidR="003030EB" w:rsidRDefault="003030EB" w:rsidP="00367DE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прочих нарушений и недостатков на сумму </w:t>
      </w:r>
      <w:r w:rsidR="00E4726A">
        <w:rPr>
          <w:rFonts w:ascii="Times New Roman" w:hAnsi="Times New Roman"/>
          <w:color w:val="000000"/>
          <w:sz w:val="28"/>
          <w:szCs w:val="28"/>
        </w:rPr>
        <w:t>9 014,0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9F1D5F4" w14:textId="0D3E4CF6" w:rsidR="00E4726A" w:rsidRPr="00E92754" w:rsidRDefault="00E4726A" w:rsidP="00367DE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неправомерного использования бюджетных средств 425,0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03D0FD9" w14:textId="17E69319" w:rsidR="00367DEA" w:rsidRDefault="00367DEA" w:rsidP="00367DE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нецелевого использования бюджетных средств при проведении экспертно</w:t>
      </w:r>
      <w:r w:rsidR="00C77EF5">
        <w:rPr>
          <w:rFonts w:ascii="Times New Roman" w:hAnsi="Times New Roman"/>
          <w:color w:val="000000"/>
          <w:sz w:val="28"/>
          <w:szCs w:val="28"/>
        </w:rPr>
        <w:t>-</w:t>
      </w:r>
      <w:r w:rsidRPr="00E92754">
        <w:rPr>
          <w:rFonts w:ascii="Times New Roman" w:hAnsi="Times New Roman"/>
          <w:color w:val="000000"/>
          <w:sz w:val="28"/>
          <w:szCs w:val="28"/>
        </w:rPr>
        <w:t>аналитических мероприятий не выявлено.</w:t>
      </w:r>
    </w:p>
    <w:p w14:paraId="3E9B160B" w14:textId="77777777" w:rsidR="00A91C45" w:rsidRPr="00B97F47" w:rsidRDefault="00A91C45" w:rsidP="00A91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97F4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 основании части 2 статьи 157 Бюджетного кодекса Российской Федерации, Федерального закона № 6-ФЗ, Порядка направления проектов нормативных правовых актов Администрации Колпашевского района на экспертизу в Сч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ё</w:t>
      </w:r>
      <w:r w:rsidRPr="00B97F4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тную палату Колпашевского района, принятого решением Думы Колпашевского района от 07.09.2015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B97F4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№ 91 (далее – Порядок № 91), Сч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ё</w:t>
      </w:r>
      <w:r w:rsidRPr="00B97F4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тная палата Колпашевского района проводит экспертизу муниципальных программ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B97F4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(проектов муниципальных программ) муниципального образования «Колпашевский район». </w:t>
      </w:r>
    </w:p>
    <w:p w14:paraId="48555227" w14:textId="77777777" w:rsidR="00A91C45" w:rsidRPr="00B97F47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F47">
        <w:rPr>
          <w:rFonts w:ascii="Times New Roman" w:hAnsi="Times New Roman"/>
          <w:sz w:val="28"/>
          <w:szCs w:val="28"/>
        </w:rPr>
        <w:t>Следует отметить, что Порядок № 91 устанавливает организационные основы направления проектов нормативных правовых актов Администрации Колпашевского района, в том числе проектов муниципальных программ муниципального образования «Колпашевский район», на финансово-экономическую экспертизу в Сч</w:t>
      </w:r>
      <w:r>
        <w:rPr>
          <w:rFonts w:ascii="Times New Roman" w:hAnsi="Times New Roman"/>
          <w:sz w:val="28"/>
          <w:szCs w:val="28"/>
        </w:rPr>
        <w:t>ё</w:t>
      </w:r>
      <w:r w:rsidRPr="00B97F47">
        <w:rPr>
          <w:rFonts w:ascii="Times New Roman" w:hAnsi="Times New Roman"/>
          <w:sz w:val="28"/>
          <w:szCs w:val="28"/>
        </w:rPr>
        <w:t>тную палату Колпашевского района.</w:t>
      </w:r>
    </w:p>
    <w:p w14:paraId="0C3D74F8" w14:textId="767ADC71" w:rsidR="00A91C45" w:rsidRPr="00B97F47" w:rsidRDefault="00A91C45" w:rsidP="00A91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97F47">
        <w:rPr>
          <w:rFonts w:ascii="Times New Roman" w:hAnsi="Times New Roman"/>
          <w:sz w:val="28"/>
          <w:szCs w:val="28"/>
        </w:rPr>
        <w:t xml:space="preserve">алатой на основании п. </w:t>
      </w:r>
      <w:r w:rsidR="00C77EF5">
        <w:rPr>
          <w:rFonts w:ascii="Times New Roman" w:hAnsi="Times New Roman"/>
          <w:sz w:val="28"/>
          <w:szCs w:val="28"/>
        </w:rPr>
        <w:t>7</w:t>
      </w:r>
      <w:r w:rsidR="00515365">
        <w:rPr>
          <w:rFonts w:ascii="Times New Roman" w:hAnsi="Times New Roman"/>
          <w:sz w:val="28"/>
          <w:szCs w:val="28"/>
        </w:rPr>
        <w:t xml:space="preserve"> </w:t>
      </w:r>
      <w:r w:rsidRPr="00B97F47">
        <w:rPr>
          <w:rFonts w:ascii="Times New Roman" w:hAnsi="Times New Roman"/>
          <w:sz w:val="28"/>
          <w:szCs w:val="28"/>
        </w:rPr>
        <w:t xml:space="preserve">раздела </w:t>
      </w:r>
      <w:r w:rsidRPr="00B97F47">
        <w:rPr>
          <w:rFonts w:ascii="Times New Roman" w:hAnsi="Times New Roman"/>
          <w:sz w:val="28"/>
          <w:szCs w:val="28"/>
          <w:lang w:val="en-US"/>
        </w:rPr>
        <w:t>II</w:t>
      </w:r>
      <w:r w:rsidRPr="00B97F47">
        <w:rPr>
          <w:rFonts w:ascii="Times New Roman" w:hAnsi="Times New Roman"/>
          <w:sz w:val="28"/>
          <w:szCs w:val="28"/>
        </w:rPr>
        <w:t xml:space="preserve"> «Экспертно-аналитические мероприятия» плана работы Сч</w:t>
      </w:r>
      <w:r>
        <w:rPr>
          <w:rFonts w:ascii="Times New Roman" w:hAnsi="Times New Roman"/>
          <w:sz w:val="28"/>
          <w:szCs w:val="28"/>
        </w:rPr>
        <w:t>ё</w:t>
      </w:r>
      <w:r w:rsidRPr="00B97F47">
        <w:rPr>
          <w:rFonts w:ascii="Times New Roman" w:hAnsi="Times New Roman"/>
          <w:sz w:val="28"/>
          <w:szCs w:val="28"/>
        </w:rPr>
        <w:t>тной палаты Колпашевского района на 202</w:t>
      </w:r>
      <w:r w:rsidR="00C77EF5">
        <w:rPr>
          <w:rFonts w:ascii="Times New Roman" w:hAnsi="Times New Roman"/>
          <w:sz w:val="28"/>
          <w:szCs w:val="28"/>
        </w:rPr>
        <w:t>5</w:t>
      </w:r>
      <w:r w:rsidRPr="00B97F47">
        <w:rPr>
          <w:rFonts w:ascii="Times New Roman" w:hAnsi="Times New Roman"/>
          <w:sz w:val="28"/>
          <w:szCs w:val="28"/>
        </w:rPr>
        <w:t xml:space="preserve"> год, ст. 17 Положения о Сч</w:t>
      </w:r>
      <w:r>
        <w:rPr>
          <w:rFonts w:ascii="Times New Roman" w:hAnsi="Times New Roman"/>
          <w:sz w:val="28"/>
          <w:szCs w:val="28"/>
        </w:rPr>
        <w:t>ё</w:t>
      </w:r>
      <w:r w:rsidRPr="00B97F47">
        <w:rPr>
          <w:rFonts w:ascii="Times New Roman" w:hAnsi="Times New Roman"/>
          <w:sz w:val="28"/>
          <w:szCs w:val="28"/>
        </w:rPr>
        <w:t>тной палате Колпашевского района, Стандарта внешнего муниципального финансового контроля «Экспертиза муниципальных программ (проектов муниципальных программ)», утвержденного приказом Сч</w:t>
      </w:r>
      <w:r>
        <w:rPr>
          <w:rFonts w:ascii="Times New Roman" w:hAnsi="Times New Roman"/>
          <w:sz w:val="28"/>
          <w:szCs w:val="28"/>
        </w:rPr>
        <w:t>ё</w:t>
      </w:r>
      <w:r w:rsidRPr="00B97F47">
        <w:rPr>
          <w:rFonts w:ascii="Times New Roman" w:hAnsi="Times New Roman"/>
          <w:sz w:val="28"/>
          <w:szCs w:val="28"/>
        </w:rPr>
        <w:t>тной палаты Колпашевского района от 20.12.2022 № 48, Порядка № 91 в 202</w:t>
      </w:r>
      <w:r w:rsidR="00C77EF5">
        <w:rPr>
          <w:rFonts w:ascii="Times New Roman" w:hAnsi="Times New Roman"/>
          <w:sz w:val="28"/>
          <w:szCs w:val="28"/>
        </w:rPr>
        <w:t>5</w:t>
      </w:r>
      <w:r w:rsidRPr="00B97F47">
        <w:rPr>
          <w:rFonts w:ascii="Times New Roman" w:hAnsi="Times New Roman"/>
          <w:sz w:val="28"/>
          <w:szCs w:val="28"/>
        </w:rPr>
        <w:t xml:space="preserve"> году проведено </w:t>
      </w:r>
      <w:r w:rsidR="00C77EF5">
        <w:rPr>
          <w:rFonts w:ascii="Times New Roman" w:hAnsi="Times New Roman"/>
          <w:sz w:val="28"/>
          <w:szCs w:val="28"/>
        </w:rPr>
        <w:t>24</w:t>
      </w:r>
      <w:r w:rsidRPr="00B97F47">
        <w:rPr>
          <w:rFonts w:ascii="Times New Roman" w:hAnsi="Times New Roman"/>
          <w:sz w:val="28"/>
          <w:szCs w:val="28"/>
        </w:rPr>
        <w:t xml:space="preserve"> мероприяти</w:t>
      </w:r>
      <w:r w:rsidR="00C77EF5">
        <w:rPr>
          <w:rFonts w:ascii="Times New Roman" w:hAnsi="Times New Roman"/>
          <w:sz w:val="28"/>
          <w:szCs w:val="28"/>
        </w:rPr>
        <w:t>я</w:t>
      </w:r>
      <w:r w:rsidRPr="00B97F47">
        <w:rPr>
          <w:rFonts w:ascii="Times New Roman" w:hAnsi="Times New Roman"/>
          <w:sz w:val="28"/>
          <w:szCs w:val="28"/>
        </w:rPr>
        <w:t xml:space="preserve"> по экспертизе поступивших муниципальных программ (проектов </w:t>
      </w:r>
      <w:r>
        <w:rPr>
          <w:rFonts w:ascii="Times New Roman" w:hAnsi="Times New Roman"/>
          <w:sz w:val="28"/>
          <w:szCs w:val="28"/>
        </w:rPr>
        <w:t xml:space="preserve">изменений </w:t>
      </w:r>
      <w:r w:rsidRPr="00B97F47">
        <w:rPr>
          <w:rFonts w:ascii="Times New Roman" w:hAnsi="Times New Roman"/>
          <w:sz w:val="28"/>
          <w:szCs w:val="28"/>
        </w:rPr>
        <w:t>муниципальных программ).</w:t>
      </w:r>
    </w:p>
    <w:p w14:paraId="2CBCF68E" w14:textId="563245B6" w:rsidR="00A91C45" w:rsidRPr="00B97F47" w:rsidRDefault="00A91C45" w:rsidP="00A91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F47">
        <w:rPr>
          <w:rFonts w:ascii="Times New Roman" w:hAnsi="Times New Roman"/>
          <w:sz w:val="28"/>
          <w:szCs w:val="28"/>
        </w:rPr>
        <w:t xml:space="preserve">По результатам проведенных мероприятий подготовлено </w:t>
      </w:r>
      <w:r w:rsidR="00C77EF5">
        <w:rPr>
          <w:rFonts w:ascii="Times New Roman" w:hAnsi="Times New Roman"/>
          <w:sz w:val="28"/>
          <w:szCs w:val="28"/>
        </w:rPr>
        <w:t>24</w:t>
      </w:r>
      <w:r w:rsidRPr="00B97F47">
        <w:rPr>
          <w:rFonts w:ascii="Times New Roman" w:hAnsi="Times New Roman"/>
          <w:sz w:val="28"/>
          <w:szCs w:val="28"/>
        </w:rPr>
        <w:t xml:space="preserve"> заключени</w:t>
      </w:r>
      <w:r w:rsidR="00C77EF5">
        <w:rPr>
          <w:rFonts w:ascii="Times New Roman" w:hAnsi="Times New Roman"/>
          <w:sz w:val="28"/>
          <w:szCs w:val="28"/>
        </w:rPr>
        <w:t>я о внесении изменений в муниципальные программы.</w:t>
      </w:r>
    </w:p>
    <w:p w14:paraId="68DA69D0" w14:textId="4607BA8E" w:rsidR="00A91C45" w:rsidRPr="00B97F47" w:rsidRDefault="00A91C45" w:rsidP="00A91C45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97F47">
        <w:rPr>
          <w:rFonts w:ascii="Times New Roman" w:hAnsi="Times New Roman"/>
          <w:sz w:val="28"/>
          <w:szCs w:val="28"/>
        </w:rPr>
        <w:tab/>
      </w:r>
      <w:r w:rsidRPr="00B97F47">
        <w:rPr>
          <w:rFonts w:ascii="Times New Roman" w:hAnsi="Times New Roman"/>
          <w:sz w:val="28"/>
          <w:szCs w:val="20"/>
        </w:rPr>
        <w:t xml:space="preserve">Заключения </w:t>
      </w:r>
      <w:r>
        <w:rPr>
          <w:rFonts w:ascii="Times New Roman" w:hAnsi="Times New Roman"/>
          <w:sz w:val="28"/>
          <w:szCs w:val="20"/>
        </w:rPr>
        <w:t>П</w:t>
      </w:r>
      <w:r w:rsidRPr="00B97F47">
        <w:rPr>
          <w:rFonts w:ascii="Times New Roman" w:hAnsi="Times New Roman"/>
          <w:sz w:val="28"/>
          <w:szCs w:val="20"/>
        </w:rPr>
        <w:t>алаты рассмотрены, нарушения и замечания учтены и устранены ответственными исполнителями муниципальных програм</w:t>
      </w:r>
      <w:r w:rsidR="00EF0E84">
        <w:rPr>
          <w:rFonts w:ascii="Times New Roman" w:hAnsi="Times New Roman"/>
          <w:sz w:val="28"/>
          <w:szCs w:val="20"/>
        </w:rPr>
        <w:t>м.</w:t>
      </w:r>
    </w:p>
    <w:p w14:paraId="6195AB75" w14:textId="77777777" w:rsidR="00367DEA" w:rsidRPr="00D037DB" w:rsidRDefault="00367DEA" w:rsidP="00367D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45DF871D" w14:textId="77777777" w:rsidR="00367DEA" w:rsidRPr="00E92754" w:rsidRDefault="00367DEA" w:rsidP="00367D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2754">
        <w:rPr>
          <w:rFonts w:ascii="Times New Roman" w:hAnsi="Times New Roman"/>
          <w:b/>
          <w:color w:val="000000"/>
          <w:sz w:val="28"/>
          <w:szCs w:val="28"/>
        </w:rPr>
        <w:t xml:space="preserve">2.3. </w:t>
      </w:r>
      <w:r>
        <w:rPr>
          <w:rFonts w:ascii="Times New Roman" w:hAnsi="Times New Roman"/>
          <w:b/>
          <w:color w:val="000000"/>
          <w:sz w:val="28"/>
          <w:szCs w:val="28"/>
        </w:rPr>
        <w:t>Деятельность Счё</w:t>
      </w:r>
      <w:r w:rsidRPr="00E92754">
        <w:rPr>
          <w:rFonts w:ascii="Times New Roman" w:hAnsi="Times New Roman"/>
          <w:b/>
          <w:color w:val="000000"/>
          <w:sz w:val="28"/>
          <w:szCs w:val="28"/>
        </w:rPr>
        <w:t>тной палаты в рамках исполнения полномочий, установленных в соответствии с законодательством</w:t>
      </w:r>
    </w:p>
    <w:p w14:paraId="2B4F34AF" w14:textId="77777777" w:rsidR="00367DEA" w:rsidRPr="00E92754" w:rsidRDefault="00367DEA" w:rsidP="00367D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2754">
        <w:rPr>
          <w:rFonts w:ascii="Times New Roman" w:hAnsi="Times New Roman"/>
          <w:b/>
          <w:color w:val="000000"/>
          <w:sz w:val="28"/>
          <w:szCs w:val="28"/>
        </w:rPr>
        <w:t>о контрактной системе</w:t>
      </w:r>
    </w:p>
    <w:p w14:paraId="18A4EC8D" w14:textId="77777777" w:rsidR="00367DEA" w:rsidRPr="00405C8C" w:rsidRDefault="00367DEA" w:rsidP="00367DEA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0A13A1EF" w14:textId="77777777" w:rsidR="00367DEA" w:rsidRPr="00E92754" w:rsidRDefault="00367DEA" w:rsidP="00367D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</w:t>
      </w:r>
      <w:r>
        <w:rPr>
          <w:rFonts w:ascii="Times New Roman" w:hAnsi="Times New Roman"/>
          <w:color w:val="000000"/>
          <w:sz w:val="28"/>
          <w:szCs w:val="28"/>
        </w:rPr>
        <w:t>х нужд» (далее – Закон № 44-ФЗ)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полномочие по аудиту в сфере закупок отнесено к полномочиям контрольно-сч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E92754">
        <w:rPr>
          <w:rFonts w:ascii="Times New Roman" w:hAnsi="Times New Roman"/>
          <w:color w:val="000000"/>
          <w:sz w:val="28"/>
          <w:szCs w:val="28"/>
        </w:rPr>
        <w:t>тных органов.</w:t>
      </w:r>
    </w:p>
    <w:p w14:paraId="2E3816F5" w14:textId="77777777" w:rsidR="00367DEA" w:rsidRDefault="00367DEA" w:rsidP="00367D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 xml:space="preserve">Аудит в сфере закупок предусматривает осуществление экспертно-аналитической, информационной и иной деятельности посредством проверки, </w:t>
      </w:r>
      <w:r w:rsidRPr="00E92754">
        <w:rPr>
          <w:rFonts w:ascii="Times New Roman" w:hAnsi="Times New Roman"/>
          <w:color w:val="000000"/>
          <w:sz w:val="28"/>
          <w:szCs w:val="28"/>
        </w:rPr>
        <w:lastRenderedPageBreak/>
        <w:t xml:space="preserve">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контрактам. </w:t>
      </w:r>
    </w:p>
    <w:p w14:paraId="38D57345" w14:textId="77777777" w:rsidR="00367DEA" w:rsidRPr="00E92754" w:rsidRDefault="00367DEA" w:rsidP="00367D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Для организации испол</w:t>
      </w:r>
      <w:r>
        <w:rPr>
          <w:rFonts w:ascii="Times New Roman" w:hAnsi="Times New Roman"/>
          <w:color w:val="000000"/>
          <w:sz w:val="28"/>
          <w:szCs w:val="28"/>
        </w:rPr>
        <w:t>нения требований Закона № 44-ФЗ в целях установления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методов (способов), процедур, применяемых в процессе осуществ</w:t>
      </w:r>
      <w:r>
        <w:rPr>
          <w:rFonts w:ascii="Times New Roman" w:hAnsi="Times New Roman"/>
          <w:color w:val="000000"/>
          <w:sz w:val="28"/>
          <w:szCs w:val="28"/>
        </w:rPr>
        <w:t>ления аудита в сфере закупок,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палатой утвержден Стандарт финансового контроля «Проведение аудита в сфере закупок».</w:t>
      </w:r>
    </w:p>
    <w:p w14:paraId="2CA5A1E0" w14:textId="42C8F1B3" w:rsidR="00515365" w:rsidRDefault="00367DEA" w:rsidP="005153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754">
        <w:rPr>
          <w:rFonts w:ascii="Times New Roman" w:hAnsi="Times New Roman"/>
          <w:color w:val="000000"/>
          <w:sz w:val="28"/>
          <w:szCs w:val="28"/>
        </w:rPr>
        <w:t>Аудит в сфере закупок в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DF7B6C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году Счё</w:t>
      </w:r>
      <w:r w:rsidRPr="00E92754">
        <w:rPr>
          <w:rFonts w:ascii="Times New Roman" w:hAnsi="Times New Roman"/>
          <w:color w:val="000000"/>
          <w:sz w:val="28"/>
          <w:szCs w:val="28"/>
        </w:rPr>
        <w:t>тной палатой осуществлялся</w:t>
      </w:r>
      <w:r>
        <w:rPr>
          <w:rFonts w:ascii="Times New Roman" w:hAnsi="Times New Roman"/>
          <w:color w:val="000000"/>
          <w:sz w:val="28"/>
          <w:szCs w:val="28"/>
        </w:rPr>
        <w:t xml:space="preserve"> в рамках </w:t>
      </w:r>
      <w:r w:rsidR="008349A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9AF">
        <w:rPr>
          <w:rFonts w:ascii="Times New Roman" w:hAnsi="Times New Roman"/>
          <w:color w:val="000000"/>
          <w:sz w:val="28"/>
          <w:szCs w:val="28"/>
        </w:rPr>
        <w:t>экспертно-аналитического мероприятия</w:t>
      </w:r>
      <w:r w:rsidRPr="00E9275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В результате аудита проверен</w:t>
      </w:r>
      <w:r w:rsidR="001E4B77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B6C">
        <w:rPr>
          <w:rFonts w:ascii="Times New Roman" w:hAnsi="Times New Roman"/>
          <w:color w:val="000000"/>
          <w:sz w:val="28"/>
          <w:szCs w:val="28"/>
        </w:rPr>
        <w:t>55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</w:t>
      </w:r>
      <w:r w:rsidR="00DF7B6C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контракт</w:t>
      </w:r>
      <w:r w:rsidR="00DF7B6C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на общую сумму </w:t>
      </w:r>
      <w:r w:rsidR="00DF7B6C">
        <w:rPr>
          <w:rFonts w:ascii="Times New Roman" w:hAnsi="Times New Roman"/>
          <w:color w:val="000000"/>
          <w:sz w:val="28"/>
          <w:szCs w:val="28"/>
        </w:rPr>
        <w:t xml:space="preserve">10 505,5 </w:t>
      </w:r>
      <w:r>
        <w:rPr>
          <w:rFonts w:ascii="Times New Roman" w:hAnsi="Times New Roman"/>
          <w:color w:val="000000"/>
          <w:sz w:val="28"/>
          <w:szCs w:val="28"/>
        </w:rPr>
        <w:t>тыс. рублей. Установлен</w:t>
      </w:r>
      <w:r w:rsidR="00DF7B6C">
        <w:rPr>
          <w:rFonts w:ascii="Times New Roman" w:hAnsi="Times New Roman"/>
          <w:color w:val="000000"/>
          <w:sz w:val="28"/>
          <w:szCs w:val="28"/>
        </w:rPr>
        <w:t xml:space="preserve">ы нарушения </w:t>
      </w:r>
      <w:r w:rsidRPr="00515365">
        <w:rPr>
          <w:rFonts w:ascii="Times New Roman" w:hAnsi="Times New Roman"/>
          <w:color w:val="000000"/>
          <w:sz w:val="28"/>
          <w:szCs w:val="28"/>
        </w:rPr>
        <w:t>которые связаны с</w:t>
      </w:r>
      <w:r w:rsidR="00DF7B6C">
        <w:rPr>
          <w:rFonts w:ascii="Times New Roman" w:hAnsi="Times New Roman"/>
          <w:color w:val="000000"/>
          <w:sz w:val="28"/>
          <w:szCs w:val="28"/>
        </w:rPr>
        <w:t xml:space="preserve"> формированием плана-графика закупок, </w:t>
      </w:r>
      <w:r w:rsidRPr="00515365">
        <w:rPr>
          <w:rFonts w:ascii="Times New Roman" w:hAnsi="Times New Roman"/>
          <w:color w:val="000000"/>
          <w:sz w:val="28"/>
          <w:szCs w:val="28"/>
        </w:rPr>
        <w:t xml:space="preserve"> несвоевременной оплатой выполненных работ, приемкой работ, отличных от сроков исполнения, установленных техническим заданием, </w:t>
      </w:r>
      <w:r w:rsidR="00515365">
        <w:rPr>
          <w:rFonts w:ascii="Times New Roman" w:hAnsi="Times New Roman"/>
          <w:color w:val="000000"/>
          <w:sz w:val="28"/>
          <w:szCs w:val="28"/>
        </w:rPr>
        <w:t xml:space="preserve">отсутствуют обязательные условия муниципального контракта (твердая цена, ИКЗ, характеристика товара, </w:t>
      </w:r>
      <w:r w:rsidR="00515365" w:rsidRPr="00887A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5365" w:rsidRPr="00515365">
        <w:rPr>
          <w:rFonts w:ascii="Times New Roman" w:hAnsi="Times New Roman"/>
          <w:color w:val="000000"/>
          <w:sz w:val="28"/>
          <w:szCs w:val="28"/>
        </w:rPr>
        <w:t>ответственност</w:t>
      </w:r>
      <w:r w:rsidR="00515365">
        <w:rPr>
          <w:rFonts w:ascii="Times New Roman" w:hAnsi="Times New Roman"/>
          <w:color w:val="000000"/>
          <w:sz w:val="28"/>
          <w:szCs w:val="28"/>
        </w:rPr>
        <w:t>ь</w:t>
      </w:r>
      <w:r w:rsidR="00515365" w:rsidRPr="00515365">
        <w:rPr>
          <w:rFonts w:ascii="Times New Roman" w:hAnsi="Times New Roman"/>
          <w:color w:val="000000"/>
          <w:sz w:val="28"/>
          <w:szCs w:val="28"/>
        </w:rPr>
        <w:t xml:space="preserve"> заказчика и поставщика (подрядчика, исполнителя) за неисполнение или ненадлежащее исполнение обязательств, предусмотренных контрактом)</w:t>
      </w:r>
      <w:r w:rsidR="00515365">
        <w:rPr>
          <w:rFonts w:ascii="Times New Roman" w:hAnsi="Times New Roman"/>
          <w:color w:val="000000"/>
          <w:sz w:val="28"/>
          <w:szCs w:val="28"/>
        </w:rPr>
        <w:t>, а также допускаются случаи «дробления закупок».</w:t>
      </w:r>
      <w:r w:rsidR="002F0232">
        <w:rPr>
          <w:rFonts w:ascii="Times New Roman" w:hAnsi="Times New Roman"/>
          <w:color w:val="000000"/>
          <w:sz w:val="28"/>
          <w:szCs w:val="28"/>
        </w:rPr>
        <w:t xml:space="preserve"> Кроме того, установлены факты оплаты не правомерных и непредвиденных расходов.</w:t>
      </w:r>
    </w:p>
    <w:p w14:paraId="0F896874" w14:textId="2536CB07" w:rsidR="0040137C" w:rsidRDefault="00367DEA" w:rsidP="00367DE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Обобщенная информация о результатах аудита в сфере закупок за 202</w:t>
      </w:r>
      <w:r w:rsidR="002F0232">
        <w:rPr>
          <w:rFonts w:ascii="Times New Roman" w:hAnsi="Times New Roman"/>
          <w:color w:val="000000"/>
          <w:sz w:val="28"/>
          <w:szCs w:val="28"/>
        </w:rPr>
        <w:t xml:space="preserve">5 </w:t>
      </w:r>
      <w:r>
        <w:rPr>
          <w:rFonts w:ascii="Times New Roman" w:hAnsi="Times New Roman"/>
          <w:color w:val="000000"/>
          <w:sz w:val="28"/>
          <w:szCs w:val="28"/>
        </w:rPr>
        <w:t xml:space="preserve">год, проведенного Счётной палатой Колпашевского района, размещена в единой информационной системе </w:t>
      </w:r>
      <w:r w:rsidRPr="00BD520E">
        <w:rPr>
          <w:rFonts w:ascii="Times New Roman" w:hAnsi="Times New Roman"/>
          <w:color w:val="000000"/>
          <w:sz w:val="28"/>
          <w:szCs w:val="28"/>
        </w:rPr>
        <w:t xml:space="preserve">в сфере закупок </w:t>
      </w:r>
      <w:r w:rsidRPr="00BD520E">
        <w:rPr>
          <w:rFonts w:ascii="Times New Roman" w:hAnsi="Times New Roman"/>
          <w:iCs/>
          <w:color w:val="000000"/>
          <w:sz w:val="28"/>
          <w:szCs w:val="28"/>
        </w:rPr>
        <w:t xml:space="preserve">на сайте </w:t>
      </w:r>
      <w:proofErr w:type="spellStart"/>
      <w:r w:rsidRPr="00BD520E">
        <w:rPr>
          <w:rFonts w:ascii="Times New Roman" w:hAnsi="Times New Roman"/>
          <w:iCs/>
          <w:color w:val="000000"/>
          <w:sz w:val="28"/>
          <w:szCs w:val="28"/>
          <w:lang w:val="en-US"/>
        </w:rPr>
        <w:t>zakupki</w:t>
      </w:r>
      <w:proofErr w:type="spellEnd"/>
      <w:r w:rsidRPr="00BD520E">
        <w:rPr>
          <w:rFonts w:ascii="Times New Roman" w:hAnsi="Times New Roman"/>
          <w:iCs/>
          <w:color w:val="000000"/>
          <w:sz w:val="28"/>
          <w:szCs w:val="28"/>
        </w:rPr>
        <w:t>.</w:t>
      </w:r>
      <w:r w:rsidRPr="00BD520E">
        <w:rPr>
          <w:rFonts w:ascii="Times New Roman" w:hAnsi="Times New Roman"/>
          <w:iCs/>
          <w:color w:val="000000"/>
          <w:sz w:val="28"/>
          <w:szCs w:val="28"/>
          <w:lang w:val="en-US"/>
        </w:rPr>
        <w:t>gov</w:t>
      </w:r>
      <w:r w:rsidRPr="00BD520E">
        <w:rPr>
          <w:rFonts w:ascii="Times New Roman" w:hAnsi="Times New Roman"/>
          <w:iCs/>
          <w:color w:val="000000"/>
          <w:sz w:val="28"/>
          <w:szCs w:val="28"/>
        </w:rPr>
        <w:t>.</w:t>
      </w:r>
      <w:proofErr w:type="spellStart"/>
      <w:r w:rsidRPr="00BD520E">
        <w:rPr>
          <w:rFonts w:ascii="Times New Roman" w:hAnsi="Times New Roman"/>
          <w:iCs/>
          <w:color w:val="000000"/>
          <w:sz w:val="28"/>
          <w:szCs w:val="28"/>
          <w:lang w:val="en-US"/>
        </w:rPr>
        <w:t>ru</w:t>
      </w:r>
      <w:proofErr w:type="spellEnd"/>
      <w:r w:rsidRPr="00BD520E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CA6567" w14:textId="77777777" w:rsidR="00A91C45" w:rsidRDefault="00A91C45" w:rsidP="00367DE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04CE9B21" w14:textId="73AC9882" w:rsidR="00A91C45" w:rsidRPr="00A91C45" w:rsidRDefault="00A91C45" w:rsidP="00A91C45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color w:val="000000"/>
          <w:sz w:val="28"/>
          <w:szCs w:val="28"/>
        </w:rPr>
        <w:t>Иная деятельность Счётной палаты в 202</w:t>
      </w:r>
      <w:r w:rsidR="001E4B77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14:paraId="0521F465" w14:textId="77777777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2A96B09" w14:textId="05B4C582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В 202</w:t>
      </w:r>
      <w:r w:rsidR="002F0232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году Счётной палатой осуществлялась и иная деятельность: работа с обращениями граждан, обеспечение открытости и гласности деятельности Счётной палаты, разработка правовых актов, финансово-хозяйственная и т.д.</w:t>
      </w:r>
    </w:p>
    <w:p w14:paraId="387BEF6B" w14:textId="77777777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59CA9BA" w14:textId="3BC9DF84" w:rsidR="00A91C45" w:rsidRDefault="00A91C45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color w:val="000000"/>
          <w:sz w:val="28"/>
          <w:szCs w:val="28"/>
        </w:rPr>
        <w:t>Работа с обращениями граждан</w:t>
      </w:r>
    </w:p>
    <w:p w14:paraId="4A9090DC" w14:textId="77777777" w:rsidR="00A91C45" w:rsidRPr="00A91C45" w:rsidRDefault="00A91C45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628047B" w14:textId="258B2AE7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В целях реализации </w:t>
      </w:r>
      <w:hyperlink r:id="rId10" w:history="1">
        <w:r w:rsidRPr="00A91C45">
          <w:rPr>
            <w:rFonts w:ascii="Times New Roman" w:hAnsi="Times New Roman"/>
            <w:color w:val="000000"/>
            <w:sz w:val="28"/>
            <w:szCs w:val="28"/>
          </w:rPr>
          <w:t>Федерального закон</w:t>
        </w:r>
      </w:hyperlink>
      <w:r w:rsidRPr="00A91C45">
        <w:rPr>
          <w:rFonts w:ascii="Times New Roman" w:hAnsi="Times New Roman"/>
          <w:color w:val="000000"/>
          <w:sz w:val="28"/>
          <w:szCs w:val="28"/>
        </w:rPr>
        <w:t xml:space="preserve">а от 02.05.2006 № 59-ФЗ «О порядке рассмотрения обращений граждан Российской Федерации», </w:t>
      </w:r>
      <w:r w:rsidRPr="00A91C45">
        <w:rPr>
          <w:rFonts w:ascii="Times New Roman" w:eastAsia="Calibri" w:hAnsi="Times New Roman"/>
          <w:color w:val="000000"/>
          <w:sz w:val="28"/>
          <w:szCs w:val="28"/>
        </w:rPr>
        <w:t xml:space="preserve">Закона Томской области от 11.01.2007 № 5-ОЗ «Об обращениях граждан в государственные органы Томской области и органы местного самоуправления» </w:t>
      </w:r>
      <w:r w:rsidRPr="00A91C45">
        <w:rPr>
          <w:rFonts w:ascii="Times New Roman" w:hAnsi="Times New Roman"/>
          <w:bCs/>
          <w:color w:val="000000"/>
          <w:sz w:val="28"/>
          <w:szCs w:val="28"/>
        </w:rPr>
        <w:t>приказом Счётной палаты от 31.12.2021 № 48 утвержден Порядок рассмотрения обращений граждан, в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соответствии с которым проводился прием граждан должностными лицами Счётной палаты. В 202</w:t>
      </w:r>
      <w:r w:rsidR="002F0232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году прием граждан проводился согласно утвержденного </w:t>
      </w:r>
      <w:r w:rsidRPr="00A91C45">
        <w:rPr>
          <w:rFonts w:ascii="Times New Roman" w:hAnsi="Times New Roman"/>
          <w:sz w:val="28"/>
          <w:szCs w:val="28"/>
        </w:rPr>
        <w:t>графика и с использов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анием функционала официального сайта Счётной палаты. </w:t>
      </w:r>
    </w:p>
    <w:p w14:paraId="2840E091" w14:textId="3070B88F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В отчётном году в Счётную палату </w:t>
      </w:r>
      <w:r w:rsidR="002F0232">
        <w:rPr>
          <w:rFonts w:ascii="Times New Roman" w:hAnsi="Times New Roman"/>
          <w:color w:val="000000"/>
          <w:sz w:val="28"/>
          <w:szCs w:val="28"/>
        </w:rPr>
        <w:t>было перенаправлено обращение 1 гражданина</w:t>
      </w:r>
      <w:r w:rsidR="00972564">
        <w:rPr>
          <w:rFonts w:ascii="Times New Roman" w:hAnsi="Times New Roman"/>
          <w:color w:val="000000"/>
          <w:sz w:val="28"/>
          <w:szCs w:val="28"/>
        </w:rPr>
        <w:t xml:space="preserve"> от Контрольно-счетной палаты Томской области</w:t>
      </w:r>
      <w:r w:rsidRPr="00A91C45">
        <w:rPr>
          <w:rFonts w:ascii="Times New Roman" w:hAnsi="Times New Roman"/>
          <w:color w:val="000000"/>
          <w:sz w:val="28"/>
          <w:szCs w:val="28"/>
        </w:rPr>
        <w:t>.</w:t>
      </w:r>
      <w:r w:rsidR="002F0232">
        <w:rPr>
          <w:rFonts w:ascii="Times New Roman" w:hAnsi="Times New Roman"/>
          <w:color w:val="000000"/>
          <w:sz w:val="28"/>
          <w:szCs w:val="28"/>
        </w:rPr>
        <w:t xml:space="preserve"> Обращение </w:t>
      </w:r>
      <w:r w:rsidR="002F0232">
        <w:rPr>
          <w:rFonts w:ascii="Times New Roman" w:hAnsi="Times New Roman"/>
          <w:color w:val="000000"/>
          <w:sz w:val="28"/>
          <w:szCs w:val="28"/>
        </w:rPr>
        <w:lastRenderedPageBreak/>
        <w:t>было рассмотрено в установленный срок. Предложение по обращению гражданина было включено в План работы Счетной палаты на 2026 год.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BF3D425" w14:textId="4C508A6A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В течение года в Палату поступали устные обращения, как от специалистов муниципальных образований, так и от специалистов финансовых и бухгалтерских служб. Основная тематика обращений – это правильность </w:t>
      </w:r>
      <w:r w:rsidR="000179E6">
        <w:rPr>
          <w:rFonts w:ascii="Times New Roman" w:hAnsi="Times New Roman"/>
          <w:color w:val="000000"/>
          <w:sz w:val="28"/>
          <w:szCs w:val="28"/>
        </w:rPr>
        <w:t xml:space="preserve">учета муниципального имущества, использование иных межбюджетных трансфертов, </w:t>
      </w:r>
      <w:r w:rsidRPr="00A91C45">
        <w:rPr>
          <w:rFonts w:ascii="Times New Roman" w:hAnsi="Times New Roman"/>
          <w:color w:val="000000"/>
          <w:sz w:val="28"/>
          <w:szCs w:val="28"/>
        </w:rPr>
        <w:t>правомерность оплаты компенсации к месту использования отпуска и обратно. При всех обращениях должностными лицами предоставлялись соответствующие разъяснения и консультации.</w:t>
      </w:r>
    </w:p>
    <w:p w14:paraId="341E757F" w14:textId="77777777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F8E4BC0" w14:textId="48DAF354" w:rsidR="00A91C45" w:rsidRDefault="00A91C45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color w:val="000000"/>
          <w:sz w:val="28"/>
          <w:szCs w:val="28"/>
        </w:rPr>
        <w:t>Информационная деятельность</w:t>
      </w:r>
    </w:p>
    <w:p w14:paraId="12B5A9CC" w14:textId="77777777" w:rsidR="000179E6" w:rsidRPr="00A91C45" w:rsidRDefault="000179E6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0FCCA95" w14:textId="1002A1ED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Согласно статье 4 Федерального закона № 6-ФЗ «Об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образований» деятельность контрольно-счётных органов основывается на принципах</w:t>
      </w:r>
      <w:r w:rsidRPr="00A91C45">
        <w:rPr>
          <w:color w:val="000000"/>
          <w:sz w:val="19"/>
          <w:szCs w:val="19"/>
          <w:shd w:val="clear" w:color="auto" w:fill="FFFFFF"/>
        </w:rPr>
        <w:t xml:space="preserve"> </w:t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законности, объективности, эффективности, независимости, открытости и гласности.</w:t>
      </w:r>
    </w:p>
    <w:p w14:paraId="5CF49B0E" w14:textId="44820B4D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В соответствии со статьей 19 Федерального закона № 6-ФЗ на контрольно-счётные органы возложены обязанности обеспечения доступа к информации о своей деятельности.</w:t>
      </w:r>
    </w:p>
    <w:p w14:paraId="2EED5BA0" w14:textId="46DA5563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Ежегодно Думе Колпашевского района представляется отчёт о деятельности Счётной палаты, а Думе и Главе Колпашевского района, Главам и Советам соответствующих поселений отчёты по результатам проведенных контрольных мероприятий и заключения по результатам экспертно-аналитических мероприятий. Размещается в сети Интернет, опубликовывается в своем официальном издании (информационном бюллетене Счётной палаты) информация о проведенных контрольных и экспертно-аналитических мероприятиях, о выявленных при их проведении нарушениях, о внесенных представлениях и о принятых по ним решениям и мерам.</w:t>
      </w:r>
    </w:p>
    <w:p w14:paraId="62E0E669" w14:textId="114FA5CA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В целях исполнения требований Федерального закона № 6-ФЗ функционирует официальный Интернет - сайт Счётной палаты (</w:t>
      </w:r>
      <w:hyperlink r:id="rId11" w:history="1">
        <w:r w:rsidRPr="00A91C45">
          <w:rPr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A91C45">
          <w:rPr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A91C45">
          <w:rPr>
            <w:rFonts w:ascii="Times New Roman" w:hAnsi="Times New Roman"/>
            <w:color w:val="000000"/>
            <w:sz w:val="28"/>
            <w:szCs w:val="28"/>
            <w:lang w:val="en-US"/>
          </w:rPr>
          <w:t>palatakolp</w:t>
        </w:r>
        <w:proofErr w:type="spellEnd"/>
        <w:r w:rsidRPr="00A91C45">
          <w:rPr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A91C45">
          <w:rPr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A91C45">
        <w:rPr>
          <w:rFonts w:ascii="Times New Roman" w:hAnsi="Times New Roman"/>
          <w:color w:val="000000"/>
          <w:sz w:val="28"/>
          <w:szCs w:val="28"/>
        </w:rPr>
        <w:t>), к которому обеспечен открытый доступ к сведениям о деятельности Счётной палаты. В течение 202</w:t>
      </w:r>
      <w:r w:rsidR="002F0232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года палатой размещено </w:t>
      </w:r>
      <w:r w:rsidR="002F0232">
        <w:rPr>
          <w:rFonts w:ascii="Times New Roman" w:hAnsi="Times New Roman"/>
          <w:color w:val="000000"/>
          <w:sz w:val="28"/>
          <w:szCs w:val="28"/>
        </w:rPr>
        <w:t>91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информационн</w:t>
      </w:r>
      <w:r w:rsidR="002F0232">
        <w:rPr>
          <w:rFonts w:ascii="Times New Roman" w:hAnsi="Times New Roman"/>
          <w:color w:val="000000"/>
          <w:sz w:val="28"/>
          <w:szCs w:val="28"/>
        </w:rPr>
        <w:t>ое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сообщени</w:t>
      </w:r>
      <w:r w:rsidR="002F0232">
        <w:rPr>
          <w:rFonts w:ascii="Times New Roman" w:hAnsi="Times New Roman"/>
          <w:color w:val="000000"/>
          <w:sz w:val="28"/>
          <w:szCs w:val="28"/>
        </w:rPr>
        <w:t>е</w:t>
      </w:r>
      <w:r w:rsidRPr="00A91C45">
        <w:rPr>
          <w:rFonts w:ascii="Times New Roman" w:hAnsi="Times New Roman"/>
          <w:color w:val="000000"/>
          <w:sz w:val="28"/>
          <w:szCs w:val="28"/>
        </w:rPr>
        <w:t>, в том числе отчёты и заключения по проведенным контрольным и экспертно-аналитическим мероприятиям</w:t>
      </w:r>
      <w:r w:rsidRPr="00A91C4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Информация, размещенная на сайте, постоянно обновляется.</w:t>
      </w:r>
    </w:p>
    <w:p w14:paraId="68F42973" w14:textId="4D87751F" w:rsid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В целях исполнения </w:t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Федерального закона от 14 июля 2022 г. № 270-ФЗ</w:t>
      </w:r>
      <w:r w:rsidRPr="00A91C45">
        <w:rPr>
          <w:rFonts w:ascii="Times New Roman" w:hAnsi="Times New Roman"/>
          <w:color w:val="000000"/>
          <w:sz w:val="28"/>
          <w:szCs w:val="28"/>
        </w:rPr>
        <w:br/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в декабре 2022 года Палата зарегистрирована в социальных сетях «ВКонтакте». В новостной </w:t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ленте отражается текущая деятельность и события, в которых принимали участие должностные лица Палаты.</w:t>
      </w:r>
    </w:p>
    <w:p w14:paraId="60A503FF" w14:textId="10A6D614" w:rsidR="00972564" w:rsidRPr="00A91C45" w:rsidRDefault="00972564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 в 2025 году был создан канал Счетной палаты Колпашевского района в</w:t>
      </w:r>
      <w:r w:rsidR="001E4B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мессенджере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«Макс».</w:t>
      </w:r>
    </w:p>
    <w:p w14:paraId="79E722C6" w14:textId="4E1D8203" w:rsidR="00A91C45" w:rsidRPr="00A91C45" w:rsidRDefault="00A91C45" w:rsidP="00A91C4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          В декабре 202</w:t>
      </w:r>
      <w:r w:rsidR="002F0232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Pr="00A91C45">
        <w:rPr>
          <w:rFonts w:ascii="Times New Roman" w:hAnsi="Times New Roman"/>
          <w:sz w:val="28"/>
          <w:szCs w:val="28"/>
        </w:rPr>
        <w:t>Счётной палатой разработан и отпечатан 1</w:t>
      </w:r>
      <w:r w:rsidR="002F0232">
        <w:rPr>
          <w:rFonts w:ascii="Times New Roman" w:hAnsi="Times New Roman"/>
          <w:sz w:val="28"/>
          <w:szCs w:val="28"/>
        </w:rPr>
        <w:t>3</w:t>
      </w:r>
      <w:r w:rsidRPr="00A91C45">
        <w:rPr>
          <w:rFonts w:ascii="Times New Roman" w:hAnsi="Times New Roman"/>
          <w:sz w:val="28"/>
          <w:szCs w:val="28"/>
        </w:rPr>
        <w:t xml:space="preserve"> выпуск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информационного бюллетеня «Контрольные </w:t>
      </w:r>
      <w:r w:rsidR="0004749B">
        <w:rPr>
          <w:rFonts w:ascii="Times New Roman" w:hAnsi="Times New Roman"/>
          <w:color w:val="000000"/>
          <w:sz w:val="28"/>
          <w:szCs w:val="28"/>
        </w:rPr>
        <w:t xml:space="preserve">и экспертно-аналитические </w:t>
      </w:r>
      <w:r w:rsidRPr="00A91C45">
        <w:rPr>
          <w:rFonts w:ascii="Times New Roman" w:hAnsi="Times New Roman"/>
          <w:color w:val="000000"/>
          <w:sz w:val="28"/>
          <w:szCs w:val="28"/>
        </w:rPr>
        <w:t>мероприятия 202</w:t>
      </w:r>
      <w:r w:rsidR="002F0232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года», который размещен на официальном сайте Палаты, передан в Думу и Администрацию Колпашевского района, Администрации поселений Колпашевского района, МБУ «Библиотека», Колпашевскую городскую прокуратуру.</w:t>
      </w:r>
    </w:p>
    <w:p w14:paraId="332E0BC1" w14:textId="77777777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885AE7A" w14:textId="21A6005F" w:rsidR="00A91C45" w:rsidRDefault="00A91C45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color w:val="000000"/>
          <w:sz w:val="28"/>
          <w:szCs w:val="28"/>
        </w:rPr>
        <w:t>Повышение квалификации работников Счётной палаты</w:t>
      </w:r>
    </w:p>
    <w:p w14:paraId="78690890" w14:textId="77777777" w:rsidR="0004749B" w:rsidRPr="00A91C45" w:rsidRDefault="0004749B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3D1F025" w14:textId="592CED54" w:rsidR="0004749B" w:rsidRDefault="0004749B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F0232">
        <w:rPr>
          <w:rFonts w:ascii="Times New Roman" w:hAnsi="Times New Roman"/>
          <w:color w:val="000000"/>
          <w:sz w:val="28"/>
          <w:szCs w:val="28"/>
        </w:rPr>
        <w:t>сентябре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2F023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года пройдено</w:t>
      </w:r>
      <w:r w:rsidR="002C30AE">
        <w:rPr>
          <w:rFonts w:ascii="Times New Roman" w:hAnsi="Times New Roman"/>
          <w:color w:val="000000"/>
          <w:sz w:val="28"/>
          <w:szCs w:val="28"/>
        </w:rPr>
        <w:t xml:space="preserve"> обучение </w:t>
      </w:r>
      <w:r w:rsidR="00922642">
        <w:rPr>
          <w:rFonts w:ascii="Times New Roman" w:hAnsi="Times New Roman"/>
          <w:color w:val="000000"/>
          <w:sz w:val="28"/>
          <w:szCs w:val="28"/>
        </w:rPr>
        <w:t>по программе профессиональной переподготовки «Управление государственными и муниципальными закупками» по заочной форме в количестве 260 академических часов.</w:t>
      </w:r>
    </w:p>
    <w:p w14:paraId="2B9989CE" w14:textId="43550FAB" w:rsidR="002F0232" w:rsidRPr="00A91C45" w:rsidRDefault="002F0232" w:rsidP="002F02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октябре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/>
          <w:color w:val="000000"/>
          <w:sz w:val="28"/>
          <w:szCs w:val="28"/>
        </w:rPr>
        <w:t>пройдено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обучение по программе повышения квалификации «Государственный и муниципальный финансовый контроль в субъектах федерации» по заочной форме обучения в количестве 72 академических часа.</w:t>
      </w:r>
    </w:p>
    <w:p w14:paraId="44CC3D41" w14:textId="77777777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Кроме того, осуществлялось постоянное повышение уровня профессиональных знаний путем самообразования, в том числе посредством портала Счётной палаты Российской Федерации и контрольно-счётных органов Российской Федерации в режиме видеоконференции, круглых столов, спикерами которых являлись представители Счётной палаты РФ, субъектов РФ и мероприятий, проводимых Советом муниципальных образований Томской области.</w:t>
      </w:r>
    </w:p>
    <w:p w14:paraId="6A56B789" w14:textId="77777777" w:rsidR="00A91C45" w:rsidRPr="00A91C45" w:rsidRDefault="00A91C45" w:rsidP="00A91C4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BCBE334" w14:textId="67DD5F81" w:rsidR="00A91C45" w:rsidRDefault="00A91C45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color w:val="000000"/>
          <w:sz w:val="28"/>
          <w:szCs w:val="28"/>
        </w:rPr>
        <w:t>Разработка правовых актов</w:t>
      </w:r>
    </w:p>
    <w:p w14:paraId="32A5C81B" w14:textId="77777777" w:rsidR="00922642" w:rsidRPr="00A91C45" w:rsidRDefault="00922642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7D812F6" w14:textId="5887808E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За отчётный период разработано и утверждено </w:t>
      </w:r>
      <w:r w:rsidR="009E702E">
        <w:rPr>
          <w:rFonts w:ascii="Times New Roman" w:hAnsi="Times New Roman"/>
          <w:color w:val="000000"/>
          <w:sz w:val="28"/>
          <w:szCs w:val="28"/>
        </w:rPr>
        <w:t>73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локальных правовых актов (приказов Счётной палаты по основной деятельности) и </w:t>
      </w:r>
      <w:r w:rsidR="009E702E">
        <w:rPr>
          <w:rFonts w:ascii="Times New Roman" w:hAnsi="Times New Roman"/>
          <w:color w:val="000000"/>
          <w:sz w:val="28"/>
          <w:szCs w:val="28"/>
        </w:rPr>
        <w:t>31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по личному составу. </w:t>
      </w:r>
    </w:p>
    <w:p w14:paraId="6C51FC90" w14:textId="77777777" w:rsidR="00A91C45" w:rsidRPr="00A91C45" w:rsidRDefault="00A91C45" w:rsidP="00A91C4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отчётном году актуализация стандартов внешнего муниципального финансового контроля и организации деятельности контрольно-счётного органа не осуществлялась.</w:t>
      </w:r>
    </w:p>
    <w:p w14:paraId="28C1B2CE" w14:textId="22532A39" w:rsidR="00A91C45" w:rsidRPr="00A91C45" w:rsidRDefault="00A91C45" w:rsidP="00624A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В целях реализации решения Думы Колпашевского района Палата в декабре 2021 года зарегистрирована в качестве юридического лица и с</w:t>
      </w:r>
      <w:r w:rsidR="009226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1C45">
        <w:rPr>
          <w:rFonts w:ascii="Times New Roman" w:hAnsi="Times New Roman"/>
          <w:color w:val="000000"/>
          <w:sz w:val="28"/>
          <w:szCs w:val="28"/>
        </w:rPr>
        <w:t>1 января 2022 года начала свою деятельность в новом статусе.</w:t>
      </w:r>
    </w:p>
    <w:p w14:paraId="29F563A7" w14:textId="77777777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FDFDCB1" w14:textId="77777777" w:rsidR="001E4B77" w:rsidRDefault="001E4B77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374E18" w14:textId="77777777" w:rsidR="001E4B77" w:rsidRDefault="001E4B77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FCB6D7" w14:textId="3A224ED7" w:rsidR="00A91C45" w:rsidRDefault="00A91C45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Взаимодействие с </w:t>
      </w:r>
      <w:proofErr w:type="spellStart"/>
      <w:r w:rsidRPr="00A91C45">
        <w:rPr>
          <w:rFonts w:ascii="Times New Roman" w:hAnsi="Times New Roman"/>
          <w:b/>
          <w:bCs/>
          <w:color w:val="000000"/>
          <w:sz w:val="28"/>
          <w:szCs w:val="28"/>
        </w:rPr>
        <w:t>контрольно</w:t>
      </w:r>
      <w:proofErr w:type="spellEnd"/>
      <w:r w:rsidRPr="00A91C45">
        <w:rPr>
          <w:rFonts w:ascii="Times New Roman" w:hAnsi="Times New Roman"/>
          <w:b/>
          <w:bCs/>
          <w:color w:val="000000"/>
          <w:sz w:val="28"/>
          <w:szCs w:val="28"/>
        </w:rPr>
        <w:t xml:space="preserve"> - счётными и правоохранительными органами</w:t>
      </w:r>
    </w:p>
    <w:p w14:paraId="1EA32589" w14:textId="77777777" w:rsidR="00922642" w:rsidRPr="00A91C45" w:rsidRDefault="00922642" w:rsidP="00A91C4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AFF204A" w14:textId="77777777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Счётная палата является членом созданного в декабре 2013 года Совета </w:t>
      </w:r>
      <w:proofErr w:type="spellStart"/>
      <w:r w:rsidRPr="00A91C45">
        <w:rPr>
          <w:rFonts w:ascii="Times New Roman" w:hAnsi="Times New Roman"/>
          <w:color w:val="000000"/>
          <w:sz w:val="28"/>
          <w:szCs w:val="28"/>
        </w:rPr>
        <w:t>контрольно</w:t>
      </w:r>
      <w:proofErr w:type="spellEnd"/>
      <w:r w:rsidRPr="00A91C45">
        <w:rPr>
          <w:rFonts w:ascii="Times New Roman" w:hAnsi="Times New Roman"/>
          <w:color w:val="000000"/>
          <w:sz w:val="28"/>
          <w:szCs w:val="28"/>
        </w:rPr>
        <w:t xml:space="preserve"> - счётных органов Томской области, в который входят </w:t>
      </w:r>
      <w:proofErr w:type="spellStart"/>
      <w:r w:rsidRPr="00A91C45">
        <w:rPr>
          <w:rFonts w:ascii="Times New Roman" w:hAnsi="Times New Roman"/>
          <w:color w:val="000000"/>
          <w:sz w:val="28"/>
          <w:szCs w:val="28"/>
        </w:rPr>
        <w:t>Контрольно</w:t>
      </w:r>
      <w:proofErr w:type="spellEnd"/>
      <w:r w:rsidRPr="00A91C45">
        <w:rPr>
          <w:rFonts w:ascii="Times New Roman" w:hAnsi="Times New Roman"/>
          <w:color w:val="000000"/>
          <w:sz w:val="28"/>
          <w:szCs w:val="28"/>
        </w:rPr>
        <w:t xml:space="preserve"> - счётная палата Томской области и 20 муниципальных </w:t>
      </w:r>
      <w:proofErr w:type="spellStart"/>
      <w:r w:rsidRPr="00A91C45">
        <w:rPr>
          <w:rFonts w:ascii="Times New Roman" w:hAnsi="Times New Roman"/>
          <w:color w:val="000000"/>
          <w:sz w:val="28"/>
          <w:szCs w:val="28"/>
        </w:rPr>
        <w:t>контрольно</w:t>
      </w:r>
      <w:proofErr w:type="spellEnd"/>
      <w:r w:rsidRPr="00A91C45">
        <w:rPr>
          <w:rFonts w:ascii="Times New Roman" w:hAnsi="Times New Roman"/>
          <w:color w:val="000000"/>
          <w:sz w:val="28"/>
          <w:szCs w:val="28"/>
        </w:rPr>
        <w:t xml:space="preserve"> - счётных органов Томской области.</w:t>
      </w:r>
    </w:p>
    <w:p w14:paraId="7886639D" w14:textId="0DA83C4A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22642">
        <w:rPr>
          <w:rFonts w:ascii="Times New Roman" w:hAnsi="Times New Roman"/>
          <w:color w:val="000000"/>
          <w:sz w:val="28"/>
          <w:szCs w:val="28"/>
        </w:rPr>
        <w:t>декабре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F53FC1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года проведено заседание Совета </w:t>
      </w:r>
      <w:proofErr w:type="spellStart"/>
      <w:r w:rsidRPr="00A91C45">
        <w:rPr>
          <w:rFonts w:ascii="Times New Roman" w:hAnsi="Times New Roman"/>
          <w:color w:val="000000"/>
          <w:sz w:val="28"/>
          <w:szCs w:val="28"/>
        </w:rPr>
        <w:t>контрольно</w:t>
      </w:r>
      <w:proofErr w:type="spellEnd"/>
      <w:r w:rsidRPr="00A91C45">
        <w:rPr>
          <w:rFonts w:ascii="Times New Roman" w:hAnsi="Times New Roman"/>
          <w:color w:val="000000"/>
          <w:sz w:val="28"/>
          <w:szCs w:val="28"/>
        </w:rPr>
        <w:t xml:space="preserve"> – счётных органов Томской области (далее – Совет), в котором участвовали председатель Законодательной Думы Томской области,</w:t>
      </w:r>
      <w:r w:rsidR="00F53FC1">
        <w:rPr>
          <w:rFonts w:ascii="Times New Roman" w:hAnsi="Times New Roman"/>
          <w:color w:val="000000"/>
          <w:sz w:val="28"/>
          <w:szCs w:val="28"/>
        </w:rPr>
        <w:t xml:space="preserve"> начальники отраслевых Департаментов </w:t>
      </w:r>
      <w:r w:rsidRPr="00A91C45">
        <w:rPr>
          <w:rFonts w:ascii="Times New Roman" w:hAnsi="Times New Roman"/>
          <w:color w:val="000000"/>
          <w:sz w:val="28"/>
          <w:szCs w:val="28"/>
        </w:rPr>
        <w:t>и председатели контрольно-счётных органов.</w:t>
      </w:r>
    </w:p>
    <w:p w14:paraId="56A868BB" w14:textId="796D9DE6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В соответствии с Планом работы Совета контрольно-счётных органов Томской области </w:t>
      </w:r>
      <w:r w:rsidR="00F53FC1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декабря 202</w:t>
      </w:r>
      <w:r w:rsidR="00F53FC1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года проведено ежегодное заседание Совета, в повестке которого рассмотрены актуальные вопросы реализации полномочий по различным направлениям.</w:t>
      </w:r>
    </w:p>
    <w:p w14:paraId="04E4FD27" w14:textId="2823E581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Подготовлен и передан годовой отчёт о показателях деятельности Счётной палаты Колпашевского района в Контрольно-счётную палату Томской области.</w:t>
      </w:r>
    </w:p>
    <w:p w14:paraId="5FD07099" w14:textId="77777777" w:rsidR="00A91C45" w:rsidRPr="00A91C45" w:rsidRDefault="00A91C45" w:rsidP="00A91C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Осуществлялось активное взаимодействие с контрольно-счётными органами муниципальных образований Томской области и субъектов РФ, что является одним из важнейших ресурсов по взаимному обмену опытом и получению информации по организации контрольной деятельности в других контрольно-счётных органах.</w:t>
      </w:r>
    </w:p>
    <w:p w14:paraId="5A7C7698" w14:textId="499E50EB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Кроме того, посредством созданного Счётной палатой Российской Федерации портала контрольно-счётных органов субъектов РФ и муниципальных образований сотрудники Палаты в отчетном периоде </w:t>
      </w:r>
      <w:r w:rsidR="0043408D">
        <w:rPr>
          <w:rFonts w:ascii="Times New Roman" w:hAnsi="Times New Roman"/>
          <w:color w:val="000000"/>
          <w:sz w:val="28"/>
          <w:szCs w:val="28"/>
        </w:rPr>
        <w:t>ежемесячно принимали участие в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видеоконференциях по актуальным вопросам осуществления внешнего финансового контроля. </w:t>
      </w:r>
    </w:p>
    <w:p w14:paraId="3E467FE0" w14:textId="298133AA" w:rsidR="00A91C45" w:rsidRDefault="00A91C45" w:rsidP="002D63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Созданный для повышения эффективности осуществления внешнего государственного финансового аудита портал является единым источником информации о деятельности контрольно-счётных органов всех субъектов РФ, Совета контрольно-счётных органов и Союза муниципальных контрольно-счётных органов. Участие в реализации проекта для Палаты является повышением уровня компетенций сотрудников и изучением опыта других контрольно-счётных органов.</w:t>
      </w:r>
    </w:p>
    <w:p w14:paraId="5CA7B761" w14:textId="77777777" w:rsidR="00535980" w:rsidRPr="00A91C45" w:rsidRDefault="00535980" w:rsidP="002D63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A47EA1" w14:textId="2932EE0A" w:rsidR="00A91C45" w:rsidRDefault="00A91C45" w:rsidP="00A91C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color w:val="000000"/>
          <w:sz w:val="28"/>
          <w:szCs w:val="28"/>
        </w:rPr>
        <w:t>Финансовое и материально - техническое обеспечение Счётной палаты</w:t>
      </w:r>
    </w:p>
    <w:p w14:paraId="21E2BB65" w14:textId="77777777" w:rsidR="00535980" w:rsidRPr="00A91C45" w:rsidRDefault="00535980" w:rsidP="00A91C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E9AC08E" w14:textId="172EBCBB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На содержание Счётной палаты в 202</w:t>
      </w:r>
      <w:r w:rsidR="00F53FC1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году израсходовано бюджетных средств в сумме</w:t>
      </w:r>
      <w:r w:rsidR="004340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3FC1">
        <w:rPr>
          <w:rFonts w:ascii="Times New Roman" w:hAnsi="Times New Roman"/>
          <w:color w:val="000000"/>
          <w:sz w:val="28"/>
          <w:szCs w:val="28"/>
        </w:rPr>
        <w:t>4 034,1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тыс. рублей, что на </w:t>
      </w:r>
      <w:r w:rsidR="00F53FC1">
        <w:rPr>
          <w:rFonts w:ascii="Times New Roman" w:hAnsi="Times New Roman"/>
          <w:color w:val="000000"/>
          <w:sz w:val="28"/>
          <w:szCs w:val="28"/>
        </w:rPr>
        <w:t>737,4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тыс. рублей больше, чем в 202</w:t>
      </w:r>
      <w:r w:rsidR="00F53FC1">
        <w:rPr>
          <w:rFonts w:ascii="Times New Roman" w:hAnsi="Times New Roman"/>
          <w:color w:val="000000"/>
          <w:sz w:val="28"/>
          <w:szCs w:val="28"/>
        </w:rPr>
        <w:t>4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году. </w:t>
      </w:r>
    </w:p>
    <w:p w14:paraId="7AD2D07F" w14:textId="7DA1CCE4" w:rsidR="00A91C45" w:rsidRPr="00A91C45" w:rsidRDefault="00A91C45" w:rsidP="00624A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Расходы Счётной палатой в 202</w:t>
      </w:r>
      <w:r w:rsidR="00F53FC1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году осуществлялись по следующим направлениям:                                                                                                                            </w:t>
      </w:r>
    </w:p>
    <w:p w14:paraId="04958DDA" w14:textId="77777777" w:rsidR="00A91C45" w:rsidRPr="00A91C45" w:rsidRDefault="00A91C45" w:rsidP="00A91C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Основные направления расходов на содержание </w:t>
      </w:r>
    </w:p>
    <w:p w14:paraId="786FA574" w14:textId="4931B8E4" w:rsidR="00A91C45" w:rsidRPr="00A91C45" w:rsidRDefault="00A91C45" w:rsidP="00A91C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C45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proofErr w:type="spellStart"/>
      <w:r w:rsidRPr="00A91C45">
        <w:rPr>
          <w:rFonts w:ascii="Times New Roman" w:hAnsi="Times New Roman"/>
          <w:b/>
          <w:color w:val="000000"/>
          <w:sz w:val="28"/>
          <w:szCs w:val="28"/>
        </w:rPr>
        <w:t>контрольно</w:t>
      </w:r>
      <w:proofErr w:type="spellEnd"/>
      <w:r w:rsidRPr="00A91C45">
        <w:rPr>
          <w:rFonts w:ascii="Times New Roman" w:hAnsi="Times New Roman"/>
          <w:b/>
          <w:color w:val="000000"/>
          <w:sz w:val="28"/>
          <w:szCs w:val="28"/>
        </w:rPr>
        <w:t xml:space="preserve"> - счётного органа в 202</w:t>
      </w:r>
      <w:r w:rsidR="00F53FC1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14:paraId="6E2B5B5C" w14:textId="77777777" w:rsidR="00A91C45" w:rsidRPr="00A91C45" w:rsidRDefault="00A91C45" w:rsidP="00A91C45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1559"/>
      </w:tblGrid>
      <w:tr w:rsidR="00A91C45" w:rsidRPr="00A91C45" w14:paraId="1154D053" w14:textId="77777777" w:rsidTr="00AD3E8B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BAF5" w14:textId="77777777" w:rsidR="00A91C45" w:rsidRPr="00A91C45" w:rsidRDefault="00A91C45" w:rsidP="00A91C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CF716" w14:textId="77777777" w:rsidR="00A91C45" w:rsidRPr="00A91C45" w:rsidRDefault="00A91C45" w:rsidP="00A91C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Сумма, </w:t>
            </w:r>
          </w:p>
          <w:p w14:paraId="651FD5AA" w14:textId="77777777" w:rsidR="00A91C45" w:rsidRPr="00A91C45" w:rsidRDefault="00A91C45" w:rsidP="00A91C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тыс. рублей</w:t>
            </w:r>
          </w:p>
        </w:tc>
      </w:tr>
      <w:tr w:rsidR="00A91C45" w:rsidRPr="00A91C45" w14:paraId="245335B0" w14:textId="77777777" w:rsidTr="00AD3E8B">
        <w:trPr>
          <w:trHeight w:val="242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B366" w14:textId="30951EF3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 плата 2-х штатных единиц (председатель</w:t>
            </w:r>
            <w:r w:rsidR="00F53F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инспектор</w:t>
            </w:r>
            <w:r w:rsidR="00F53FC1">
              <w:rPr>
                <w:rFonts w:ascii="Times New Roman" w:hAnsi="Times New Roman"/>
                <w:color w:val="000000"/>
                <w:sz w:val="24"/>
                <w:szCs w:val="24"/>
              </w:rPr>
              <w:t>, бухгалтер и секретарь</w:t>
            </w: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598D" w14:textId="304D1C50" w:rsidR="00A91C45" w:rsidRPr="00A91C45" w:rsidRDefault="00F53FC1" w:rsidP="00A91C45">
            <w:pPr>
              <w:tabs>
                <w:tab w:val="left" w:pos="570"/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2 746,5</w:t>
            </w:r>
          </w:p>
        </w:tc>
      </w:tr>
      <w:tr w:rsidR="00A91C45" w:rsidRPr="00A91C45" w14:paraId="569C048A" w14:textId="77777777" w:rsidTr="005F0B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7502" w14:textId="77777777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Начисления на выплаты по оплате труда (уплата страховых взносов)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9FEC" w14:textId="4AB2ECB2" w:rsidR="00A91C45" w:rsidRPr="00A91C45" w:rsidRDefault="00F53FC1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827,0</w:t>
            </w:r>
          </w:p>
        </w:tc>
      </w:tr>
      <w:tr w:rsidR="00A91C45" w:rsidRPr="00A91C45" w14:paraId="04CAA371" w14:textId="77777777" w:rsidTr="005F0BEA">
        <w:trPr>
          <w:trHeight w:val="357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6F9E0" w14:textId="77777777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D4C1" w14:textId="16C06FFC" w:rsidR="00A91C45" w:rsidRPr="00A91C45" w:rsidRDefault="00F53FC1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13,1</w:t>
            </w:r>
          </w:p>
        </w:tc>
      </w:tr>
      <w:tr w:rsidR="00A91C45" w:rsidRPr="00A91C45" w14:paraId="20CCC539" w14:textId="77777777" w:rsidTr="005F0B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CE9C9" w14:textId="77777777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теплоснабжение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A5A6" w14:textId="65F280A5" w:rsidR="00A91C45" w:rsidRPr="00A91C45" w:rsidRDefault="00734196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53FC1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</w:p>
        </w:tc>
      </w:tr>
      <w:tr w:rsidR="00A91C45" w:rsidRPr="00A91C45" w14:paraId="271D81E3" w14:textId="77777777" w:rsidTr="005F0B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6CF1B" w14:textId="3DDB1C1A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Работы и услуги по содержанию имущества (заправка</w:t>
            </w:r>
            <w:r w:rsidR="00F53F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ремонт</w:t>
            </w: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картриджей)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2FE1" w14:textId="14AB2AFC" w:rsidR="00A91C45" w:rsidRPr="00A91C45" w:rsidRDefault="00F53FC1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A91C45" w:rsidRPr="00A91C45" w14:paraId="4CD32E96" w14:textId="77777777" w:rsidTr="00AD3E8B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AF52" w14:textId="77777777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Прочие работы и услуги (сопровождение официального сайта Счетной палаты, сопровождение программных продуктов для бухгалтерского учёта 1С бухгалтерия, продление антивируса, услуги по электронному документообороту для передачи отчетности)</w:t>
            </w:r>
          </w:p>
          <w:p w14:paraId="2BAE9CB4" w14:textId="77777777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B01C" w14:textId="12474AA6" w:rsidR="00A91C45" w:rsidRPr="00A91C45" w:rsidRDefault="00F53FC1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130,1</w:t>
            </w:r>
          </w:p>
        </w:tc>
      </w:tr>
      <w:tr w:rsidR="00A91C45" w:rsidRPr="00A91C45" w14:paraId="146BCC4F" w14:textId="77777777" w:rsidTr="00AD3E8B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199D" w14:textId="1715B6F4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</w:t>
            </w:r>
            <w:r w:rsidR="00F53FC1">
              <w:rPr>
                <w:rFonts w:ascii="Times New Roman" w:hAnsi="Times New Roman"/>
                <w:color w:val="000000"/>
                <w:sz w:val="24"/>
                <w:szCs w:val="24"/>
              </w:rPr>
              <w:t>ПАК «Соболь»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962B" w14:textId="6C3FCDEA" w:rsidR="00A91C45" w:rsidRPr="00A91C45" w:rsidRDefault="00F53FC1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102,9</w:t>
            </w:r>
          </w:p>
        </w:tc>
      </w:tr>
      <w:tr w:rsidR="00A91C45" w:rsidRPr="00A91C45" w14:paraId="11F9056D" w14:textId="77777777" w:rsidTr="00AD3E8B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23A35" w14:textId="77777777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sz w:val="24"/>
                <w:szCs w:val="24"/>
              </w:rPr>
              <w:t>Оказание услуг по диспансеризации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CD70" w14:textId="432124A6" w:rsidR="00A91C45" w:rsidRPr="00A91C45" w:rsidRDefault="00F53FC1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</w:tr>
      <w:tr w:rsidR="00F53FC1" w:rsidRPr="00A91C45" w14:paraId="51401D0E" w14:textId="77777777" w:rsidTr="00AD3E8B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C5F1" w14:textId="779CD41A" w:rsidR="00F53FC1" w:rsidRPr="00A91C45" w:rsidRDefault="00F53FC1" w:rsidP="00A91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71C3" w14:textId="6C92B850" w:rsidR="00F53FC1" w:rsidRDefault="00F53FC1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88,1</w:t>
            </w:r>
          </w:p>
        </w:tc>
      </w:tr>
      <w:tr w:rsidR="00A91C45" w:rsidRPr="00A91C45" w14:paraId="04E0D16D" w14:textId="77777777" w:rsidTr="005F0B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1E1DE" w14:textId="087C92EA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материальных запасов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CF1F" w14:textId="50399994" w:rsidR="00A91C45" w:rsidRPr="00A91C45" w:rsidRDefault="0009672E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34,0</w:t>
            </w:r>
          </w:p>
        </w:tc>
      </w:tr>
      <w:tr w:rsidR="00A91C45" w:rsidRPr="00A91C45" w14:paraId="4E0464C1" w14:textId="77777777" w:rsidTr="005F0B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EEB22" w14:textId="77777777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5B76" w14:textId="5911A751" w:rsidR="00A91C45" w:rsidRPr="00A91C45" w:rsidRDefault="00734196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F53FC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672E" w:rsidRPr="00A91C45" w14:paraId="74C2CEA8" w14:textId="77777777" w:rsidTr="005F0B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8D20" w14:textId="4A609430" w:rsidR="0009672E" w:rsidRPr="00A91C45" w:rsidRDefault="0009672E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командировочные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F013" w14:textId="5690C934" w:rsidR="0009672E" w:rsidRDefault="0009672E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15,1</w:t>
            </w:r>
          </w:p>
        </w:tc>
      </w:tr>
      <w:tr w:rsidR="00A91C45" w:rsidRPr="00A91C45" w14:paraId="386B776D" w14:textId="77777777" w:rsidTr="005F0B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A245F" w14:textId="77777777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3B9" w14:textId="5DBA25CD" w:rsidR="00A91C45" w:rsidRPr="00A91C45" w:rsidRDefault="00F53FC1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</w:tr>
      <w:tr w:rsidR="00734196" w:rsidRPr="00A91C45" w14:paraId="4DA3CEDB" w14:textId="77777777" w:rsidTr="005F0B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2A3" w14:textId="6602EB0F" w:rsidR="00734196" w:rsidRPr="00A91C45" w:rsidRDefault="00734196" w:rsidP="00A91C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Компенсация расходов по оплате проезда и провоза багажа к месту использования отпуска и обратно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949A" w14:textId="3DBB3665" w:rsidR="00734196" w:rsidRDefault="0009672E" w:rsidP="00A91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35,1</w:t>
            </w:r>
          </w:p>
        </w:tc>
      </w:tr>
      <w:tr w:rsidR="00A91C45" w:rsidRPr="00A91C45" w14:paraId="1C1506BD" w14:textId="77777777" w:rsidTr="005F0BEA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15490" w14:textId="77777777" w:rsidR="00A91C45" w:rsidRPr="00A91C45" w:rsidRDefault="00A91C45" w:rsidP="00A91C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C220" w14:textId="22642A75" w:rsidR="00A91C45" w:rsidRPr="00A91C45" w:rsidRDefault="0009672E" w:rsidP="00A91C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4 034,1</w:t>
            </w:r>
          </w:p>
        </w:tc>
      </w:tr>
    </w:tbl>
    <w:p w14:paraId="6DB05494" w14:textId="638614B6" w:rsidR="00A91C45" w:rsidRPr="0009672E" w:rsidRDefault="00A91C45" w:rsidP="0009672E">
      <w:pPr>
        <w:rPr>
          <w:b/>
          <w:bCs/>
          <w:color w:val="000000"/>
          <w:sz w:val="20"/>
          <w:szCs w:val="20"/>
        </w:rPr>
      </w:pPr>
    </w:p>
    <w:p w14:paraId="20A99C64" w14:textId="77777777" w:rsidR="00A91C45" w:rsidRPr="00A91C45" w:rsidRDefault="00A91C45" w:rsidP="00A91C45">
      <w:pPr>
        <w:spacing w:after="0" w:line="240" w:lineRule="auto"/>
        <w:ind w:left="450"/>
        <w:rPr>
          <w:rFonts w:ascii="Times New Roman" w:hAnsi="Times New Roman"/>
          <w:color w:val="000000"/>
          <w:sz w:val="16"/>
          <w:szCs w:val="16"/>
        </w:rPr>
      </w:pPr>
    </w:p>
    <w:p w14:paraId="1AD3681A" w14:textId="1F9FE744" w:rsidR="00A91C45" w:rsidRDefault="00A91C45" w:rsidP="002D63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01.01.202</w:t>
      </w:r>
      <w:r w:rsidR="00096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фактическая численность работников состав</w:t>
      </w:r>
      <w:r w:rsidR="00B94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ляет</w:t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96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2,62 </w:t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человека. Все работники имеют высшее профессиональное образование. Замещение должностей муниципальной службы осуществляется в соответствии с действующим законодательством.</w:t>
      </w:r>
    </w:p>
    <w:p w14:paraId="1AA5ED2F" w14:textId="77777777" w:rsidR="00535980" w:rsidRPr="00A91C45" w:rsidRDefault="00535980" w:rsidP="002D63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3E4FFE4" w14:textId="18393100" w:rsidR="00A91C45" w:rsidRDefault="00A91C45" w:rsidP="004D36DB">
      <w:pPr>
        <w:pStyle w:val="a3"/>
        <w:numPr>
          <w:ilvl w:val="0"/>
          <w:numId w:val="31"/>
        </w:numPr>
        <w:jc w:val="center"/>
        <w:rPr>
          <w:b/>
          <w:color w:val="000000"/>
          <w:sz w:val="28"/>
          <w:szCs w:val="28"/>
        </w:rPr>
      </w:pPr>
      <w:r w:rsidRPr="004D36DB">
        <w:rPr>
          <w:b/>
          <w:color w:val="000000"/>
          <w:sz w:val="28"/>
          <w:szCs w:val="28"/>
        </w:rPr>
        <w:t>Заключительные положения. Задачи на 202</w:t>
      </w:r>
      <w:r w:rsidR="0009672E">
        <w:rPr>
          <w:b/>
          <w:color w:val="000000"/>
          <w:sz w:val="28"/>
          <w:szCs w:val="28"/>
        </w:rPr>
        <w:t>6</w:t>
      </w:r>
      <w:r w:rsidRPr="004D36DB">
        <w:rPr>
          <w:b/>
          <w:color w:val="000000"/>
          <w:sz w:val="28"/>
          <w:szCs w:val="28"/>
        </w:rPr>
        <w:t xml:space="preserve"> год</w:t>
      </w:r>
      <w:r w:rsidR="00535980">
        <w:rPr>
          <w:b/>
          <w:color w:val="000000"/>
          <w:sz w:val="28"/>
          <w:szCs w:val="28"/>
        </w:rPr>
        <w:t>.</w:t>
      </w:r>
    </w:p>
    <w:p w14:paraId="1F37E898" w14:textId="77777777" w:rsidR="00535980" w:rsidRPr="004D36DB" w:rsidRDefault="00535980" w:rsidP="00535980">
      <w:pPr>
        <w:pStyle w:val="a3"/>
        <w:ind w:left="1080"/>
        <w:rPr>
          <w:b/>
          <w:color w:val="000000"/>
          <w:sz w:val="28"/>
          <w:szCs w:val="28"/>
        </w:rPr>
      </w:pPr>
    </w:p>
    <w:p w14:paraId="2339850D" w14:textId="77777777" w:rsidR="00A91C45" w:rsidRPr="00A91C45" w:rsidRDefault="00A91C45" w:rsidP="00A91C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Работа Счётной палаты в отчётном году была нацелена в первую очередь на выполнение требований бюджетного законодательства, осуществление контроля за исполнением бюджетов.</w:t>
      </w:r>
    </w:p>
    <w:p w14:paraId="70B2188A" w14:textId="660D0B34" w:rsidR="00A91C45" w:rsidRPr="00A91C45" w:rsidRDefault="00A91C45" w:rsidP="00A91C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096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декабря 202</w:t>
      </w:r>
      <w:r w:rsidR="00096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приказом Счётной палаты Колпашевского района утверждён план работы на 202</w:t>
      </w:r>
      <w:r w:rsidR="00096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год, при составлении которого учтены предложения органов местного самоуправления, представительных органов муниципальных образований Колпашевского района (Дума Колпашевского района</w:t>
      </w:r>
      <w:r w:rsidR="007478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A91C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Совет Колпашевского городского поселения). Кроме того, </w:t>
      </w:r>
      <w:r w:rsidR="005F0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включен</w:t>
      </w:r>
      <w:r w:rsidR="007478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5F0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 параллельное экспертно-аналитическое мероприятие с Контрольно-счетной палатой Томской области.</w:t>
      </w:r>
    </w:p>
    <w:p w14:paraId="7B6457A5" w14:textId="77777777" w:rsidR="00A91C45" w:rsidRPr="00A91C45" w:rsidRDefault="00A91C45" w:rsidP="00A91C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lastRenderedPageBreak/>
        <w:t>Традиционными для палаты останутся мероприятия, проводимые ежегодно. Это внешняя проверка и подготовка заключений на отчёт об исполнении бюджета, подготовка заключений на проект решения о бюджете на очередной год и на плановый период, проекты нормативных правовых актов, поступающих в Счётную палату, а также представление Думе и Главе Колпашевского района информации о результатах проводимых мероприятий.</w:t>
      </w:r>
    </w:p>
    <w:p w14:paraId="53835C56" w14:textId="7D1FD7C5" w:rsidR="00A91C45" w:rsidRPr="00A91C45" w:rsidRDefault="00A91C45" w:rsidP="00A91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Основным приоритетом в деятельности Палаты в 202</w:t>
      </w:r>
      <w:r w:rsidR="0074783C">
        <w:rPr>
          <w:rFonts w:ascii="Times New Roman" w:hAnsi="Times New Roman"/>
          <w:color w:val="000000"/>
          <w:sz w:val="28"/>
          <w:szCs w:val="28"/>
        </w:rPr>
        <w:t>6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году будет работа по осуществлению контроля посредством проведения экспертно-аналитических мероприятий:</w:t>
      </w:r>
    </w:p>
    <w:p w14:paraId="2D3247B0" w14:textId="2D0C1DDA" w:rsidR="00535980" w:rsidRDefault="00A91C45" w:rsidP="005359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-</w:t>
      </w:r>
      <w:r w:rsidRPr="00A91C45">
        <w:rPr>
          <w:color w:val="000000"/>
        </w:rPr>
        <w:t xml:space="preserve"> </w:t>
      </w:r>
      <w:r w:rsidR="009E3183" w:rsidRPr="009E3183">
        <w:rPr>
          <w:rFonts w:ascii="Times New Roman" w:hAnsi="Times New Roman"/>
          <w:color w:val="000000"/>
          <w:sz w:val="28"/>
          <w:szCs w:val="28"/>
        </w:rPr>
        <w:t>Анализ использования средств иных межбюджетных трансфертов</w:t>
      </w:r>
      <w:r w:rsidR="0074783C">
        <w:rPr>
          <w:rFonts w:ascii="Times New Roman" w:hAnsi="Times New Roman"/>
          <w:color w:val="000000"/>
          <w:sz w:val="28"/>
          <w:szCs w:val="28"/>
        </w:rPr>
        <w:t>,</w:t>
      </w:r>
      <w:r w:rsidR="009E3183" w:rsidRPr="009E3183">
        <w:rPr>
          <w:rFonts w:ascii="Times New Roman" w:hAnsi="Times New Roman"/>
          <w:color w:val="000000"/>
          <w:sz w:val="28"/>
          <w:szCs w:val="28"/>
        </w:rPr>
        <w:t xml:space="preserve"> выделенных бюджету муниципального образования «</w:t>
      </w:r>
      <w:proofErr w:type="spellStart"/>
      <w:r w:rsidR="0074783C">
        <w:rPr>
          <w:rFonts w:ascii="Times New Roman" w:hAnsi="Times New Roman"/>
          <w:color w:val="000000"/>
          <w:sz w:val="28"/>
          <w:szCs w:val="28"/>
        </w:rPr>
        <w:t>Новогоренское</w:t>
      </w:r>
      <w:proofErr w:type="spellEnd"/>
      <w:r w:rsidR="007478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3183" w:rsidRPr="009E3183">
        <w:rPr>
          <w:rFonts w:ascii="Times New Roman" w:hAnsi="Times New Roman"/>
          <w:color w:val="000000"/>
          <w:sz w:val="28"/>
          <w:szCs w:val="28"/>
        </w:rPr>
        <w:t>сельское поселение»</w:t>
      </w:r>
      <w:r w:rsidR="009E3183">
        <w:rPr>
          <w:rFonts w:ascii="Times New Roman" w:hAnsi="Times New Roman"/>
          <w:color w:val="000000"/>
          <w:sz w:val="28"/>
          <w:szCs w:val="28"/>
        </w:rPr>
        <w:t>;</w:t>
      </w:r>
    </w:p>
    <w:p w14:paraId="26A64AD5" w14:textId="44D76C6F" w:rsidR="00A91C45" w:rsidRDefault="00A91C45" w:rsidP="007478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4783C" w:rsidRPr="009E3183">
        <w:rPr>
          <w:rFonts w:ascii="Times New Roman" w:hAnsi="Times New Roman"/>
          <w:color w:val="000000"/>
          <w:sz w:val="28"/>
          <w:szCs w:val="28"/>
        </w:rPr>
        <w:t>Анализ использования средств иных межбюджетных трансфертов</w:t>
      </w:r>
      <w:r w:rsidR="0074783C">
        <w:rPr>
          <w:rFonts w:ascii="Times New Roman" w:hAnsi="Times New Roman"/>
          <w:color w:val="000000"/>
          <w:sz w:val="28"/>
          <w:szCs w:val="28"/>
        </w:rPr>
        <w:t>,</w:t>
      </w:r>
      <w:r w:rsidR="0074783C" w:rsidRPr="009E3183">
        <w:rPr>
          <w:rFonts w:ascii="Times New Roman" w:hAnsi="Times New Roman"/>
          <w:color w:val="000000"/>
          <w:sz w:val="28"/>
          <w:szCs w:val="28"/>
        </w:rPr>
        <w:t xml:space="preserve"> выделенных бюджету муниципального образования «</w:t>
      </w:r>
      <w:proofErr w:type="spellStart"/>
      <w:r w:rsidR="0074783C">
        <w:rPr>
          <w:rFonts w:ascii="Times New Roman" w:hAnsi="Times New Roman"/>
          <w:color w:val="000000"/>
          <w:sz w:val="28"/>
          <w:szCs w:val="28"/>
        </w:rPr>
        <w:t>Чажемтовское</w:t>
      </w:r>
      <w:proofErr w:type="spellEnd"/>
      <w:r w:rsidR="007478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783C" w:rsidRPr="009E3183">
        <w:rPr>
          <w:rFonts w:ascii="Times New Roman" w:hAnsi="Times New Roman"/>
          <w:color w:val="000000"/>
          <w:sz w:val="28"/>
          <w:szCs w:val="28"/>
        </w:rPr>
        <w:t>сельское поселение»</w:t>
      </w:r>
      <w:r w:rsidR="0074783C">
        <w:rPr>
          <w:rFonts w:ascii="Times New Roman" w:hAnsi="Times New Roman"/>
          <w:color w:val="000000"/>
          <w:sz w:val="28"/>
          <w:szCs w:val="28"/>
        </w:rPr>
        <w:t>.</w:t>
      </w:r>
    </w:p>
    <w:p w14:paraId="0FBEE715" w14:textId="7E847248" w:rsidR="00774917" w:rsidRDefault="00A91C45" w:rsidP="00774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98819856"/>
      <w:r w:rsidRPr="00A91C45">
        <w:rPr>
          <w:rFonts w:ascii="Times New Roman" w:hAnsi="Times New Roman"/>
          <w:color w:val="000000"/>
          <w:sz w:val="28"/>
          <w:szCs w:val="28"/>
        </w:rPr>
        <w:t>Основными задачами на 202</w:t>
      </w:r>
      <w:r w:rsidR="0074783C">
        <w:rPr>
          <w:rFonts w:ascii="Times New Roman" w:hAnsi="Times New Roman"/>
          <w:color w:val="000000"/>
          <w:sz w:val="28"/>
          <w:szCs w:val="28"/>
        </w:rPr>
        <w:t>6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 явля</w:t>
      </w:r>
      <w:r w:rsidR="00001D2D">
        <w:rPr>
          <w:rFonts w:ascii="Times New Roman" w:hAnsi="Times New Roman"/>
          <w:color w:val="000000"/>
          <w:sz w:val="28"/>
          <w:szCs w:val="28"/>
        </w:rPr>
        <w:t>ю</w:t>
      </w:r>
      <w:r w:rsidRPr="00A91C45">
        <w:rPr>
          <w:rFonts w:ascii="Times New Roman" w:hAnsi="Times New Roman"/>
          <w:color w:val="000000"/>
          <w:sz w:val="28"/>
          <w:szCs w:val="28"/>
        </w:rPr>
        <w:t>тся</w:t>
      </w:r>
      <w:r w:rsidR="00001D2D">
        <w:rPr>
          <w:rFonts w:ascii="Times New Roman" w:hAnsi="Times New Roman"/>
          <w:color w:val="000000"/>
          <w:sz w:val="28"/>
          <w:szCs w:val="28"/>
        </w:rPr>
        <w:t>:</w:t>
      </w:r>
      <w:r w:rsidR="007749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9D2" w:rsidRPr="00774917">
        <w:rPr>
          <w:rFonts w:ascii="Times New Roman" w:hAnsi="Times New Roman"/>
          <w:sz w:val="28"/>
          <w:szCs w:val="28"/>
        </w:rPr>
        <w:t>реализаци</w:t>
      </w:r>
      <w:r w:rsidR="00774917" w:rsidRPr="00774917">
        <w:rPr>
          <w:rFonts w:ascii="Times New Roman" w:hAnsi="Times New Roman"/>
          <w:sz w:val="28"/>
          <w:szCs w:val="28"/>
        </w:rPr>
        <w:t>я</w:t>
      </w:r>
      <w:r w:rsidR="00B949D2" w:rsidRPr="00774917">
        <w:rPr>
          <w:rFonts w:ascii="Times New Roman" w:hAnsi="Times New Roman"/>
          <w:sz w:val="28"/>
          <w:szCs w:val="28"/>
        </w:rPr>
        <w:t xml:space="preserve"> полномочий по осуществлению внешнего </w:t>
      </w:r>
      <w:r w:rsidR="00774917" w:rsidRPr="00774917">
        <w:rPr>
          <w:rFonts w:ascii="Times New Roman" w:hAnsi="Times New Roman"/>
          <w:sz w:val="28"/>
          <w:szCs w:val="28"/>
        </w:rPr>
        <w:t>муниципального</w:t>
      </w:r>
      <w:r w:rsidR="00B949D2" w:rsidRPr="00774917">
        <w:rPr>
          <w:rFonts w:ascii="Times New Roman" w:hAnsi="Times New Roman"/>
          <w:sz w:val="28"/>
          <w:szCs w:val="28"/>
        </w:rPr>
        <w:t xml:space="preserve"> финансового контроля в части эффективности использования средств </w:t>
      </w:r>
      <w:r w:rsidR="00774917" w:rsidRPr="00774917">
        <w:rPr>
          <w:rFonts w:ascii="Times New Roman" w:hAnsi="Times New Roman"/>
          <w:sz w:val="28"/>
          <w:szCs w:val="28"/>
        </w:rPr>
        <w:t xml:space="preserve">местного </w:t>
      </w:r>
      <w:r w:rsidR="00B949D2" w:rsidRPr="00774917">
        <w:rPr>
          <w:rFonts w:ascii="Times New Roman" w:hAnsi="Times New Roman"/>
          <w:sz w:val="28"/>
          <w:szCs w:val="28"/>
        </w:rPr>
        <w:t xml:space="preserve">бюджета, правомерности и эффективности использования </w:t>
      </w:r>
      <w:r w:rsidR="00774917" w:rsidRPr="00774917">
        <w:rPr>
          <w:rFonts w:ascii="Times New Roman" w:hAnsi="Times New Roman"/>
          <w:sz w:val="28"/>
          <w:szCs w:val="28"/>
        </w:rPr>
        <w:t>муниципального</w:t>
      </w:r>
      <w:r w:rsidR="00B949D2" w:rsidRPr="00774917">
        <w:rPr>
          <w:rFonts w:ascii="Times New Roman" w:hAnsi="Times New Roman"/>
          <w:sz w:val="28"/>
          <w:szCs w:val="28"/>
        </w:rPr>
        <w:t xml:space="preserve"> имущества, подготовк</w:t>
      </w:r>
      <w:r w:rsidR="00001D2D">
        <w:rPr>
          <w:rFonts w:ascii="Times New Roman" w:hAnsi="Times New Roman"/>
          <w:sz w:val="28"/>
          <w:szCs w:val="28"/>
        </w:rPr>
        <w:t>а</w:t>
      </w:r>
      <w:r w:rsidR="00B949D2" w:rsidRPr="00774917">
        <w:rPr>
          <w:rFonts w:ascii="Times New Roman" w:hAnsi="Times New Roman"/>
          <w:sz w:val="28"/>
          <w:szCs w:val="28"/>
        </w:rPr>
        <w:t xml:space="preserve"> предложений по совершенствованию бюджетного процесса, а также </w:t>
      </w:r>
      <w:r w:rsidR="00774917">
        <w:rPr>
          <w:rFonts w:ascii="Times New Roman" w:hAnsi="Times New Roman"/>
          <w:sz w:val="28"/>
          <w:szCs w:val="28"/>
        </w:rPr>
        <w:t>по</w:t>
      </w:r>
      <w:r w:rsidR="00B949D2" w:rsidRPr="00774917">
        <w:rPr>
          <w:rFonts w:ascii="Times New Roman" w:hAnsi="Times New Roman"/>
          <w:sz w:val="28"/>
          <w:szCs w:val="28"/>
        </w:rPr>
        <w:t xml:space="preserve"> выявлени</w:t>
      </w:r>
      <w:r w:rsidR="00774917">
        <w:rPr>
          <w:rFonts w:ascii="Times New Roman" w:hAnsi="Times New Roman"/>
          <w:sz w:val="28"/>
          <w:szCs w:val="28"/>
        </w:rPr>
        <w:t>ю</w:t>
      </w:r>
      <w:r w:rsidR="00B949D2" w:rsidRPr="00774917">
        <w:rPr>
          <w:rFonts w:ascii="Times New Roman" w:hAnsi="Times New Roman"/>
          <w:sz w:val="28"/>
          <w:szCs w:val="28"/>
        </w:rPr>
        <w:t xml:space="preserve"> резервов дополнительных источников доходов бюджета </w:t>
      </w:r>
      <w:r w:rsidR="00774917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74917" w:rsidRPr="00774917">
        <w:rPr>
          <w:rFonts w:ascii="Times New Roman" w:hAnsi="Times New Roman"/>
          <w:sz w:val="28"/>
          <w:szCs w:val="28"/>
        </w:rPr>
        <w:t>Колпашевск</w:t>
      </w:r>
      <w:r w:rsidR="00774917">
        <w:rPr>
          <w:rFonts w:ascii="Times New Roman" w:hAnsi="Times New Roman"/>
          <w:sz w:val="28"/>
          <w:szCs w:val="28"/>
        </w:rPr>
        <w:t>ий</w:t>
      </w:r>
      <w:r w:rsidR="00774917" w:rsidRPr="00774917">
        <w:rPr>
          <w:rFonts w:ascii="Times New Roman" w:hAnsi="Times New Roman"/>
          <w:sz w:val="28"/>
          <w:szCs w:val="28"/>
        </w:rPr>
        <w:t xml:space="preserve"> район</w:t>
      </w:r>
      <w:r w:rsidR="00774917">
        <w:rPr>
          <w:rFonts w:ascii="Times New Roman" w:hAnsi="Times New Roman"/>
          <w:sz w:val="28"/>
          <w:szCs w:val="28"/>
        </w:rPr>
        <w:t>»</w:t>
      </w:r>
      <w:r w:rsidR="00B949D2" w:rsidRPr="00774917">
        <w:rPr>
          <w:rFonts w:ascii="Times New Roman" w:hAnsi="Times New Roman"/>
          <w:sz w:val="28"/>
          <w:szCs w:val="28"/>
        </w:rPr>
        <w:t>.</w:t>
      </w:r>
    </w:p>
    <w:p w14:paraId="1A6A73A2" w14:textId="2907868B" w:rsidR="00774917" w:rsidRDefault="00774917" w:rsidP="007749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Также в </w:t>
      </w:r>
      <w:r w:rsidRPr="00E92754">
        <w:rPr>
          <w:rFonts w:ascii="Times New Roman" w:hAnsi="Times New Roman"/>
          <w:color w:val="000000"/>
          <w:sz w:val="28"/>
          <w:szCs w:val="28"/>
        </w:rPr>
        <w:t>202</w:t>
      </w:r>
      <w:r w:rsidR="0074783C">
        <w:rPr>
          <w:rFonts w:ascii="Times New Roman" w:hAnsi="Times New Roman"/>
          <w:color w:val="000000"/>
          <w:sz w:val="28"/>
          <w:szCs w:val="28"/>
        </w:rPr>
        <w:t>6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hAnsi="Times New Roman"/>
          <w:color w:val="000000"/>
          <w:sz w:val="28"/>
          <w:szCs w:val="28"/>
        </w:rPr>
        <w:t xml:space="preserve"> продолжить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рассмотрение вопросов аудита закупок в ходе контрольных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и экспертно-аналитических</w:t>
      </w:r>
      <w:r w:rsidRPr="00E92754">
        <w:rPr>
          <w:rFonts w:ascii="Times New Roman" w:hAnsi="Times New Roman"/>
          <w:color w:val="000000"/>
          <w:sz w:val="28"/>
          <w:szCs w:val="28"/>
        </w:rPr>
        <w:t xml:space="preserve"> мероприятий по отдельным направлениям деятельности.</w:t>
      </w:r>
    </w:p>
    <w:p w14:paraId="7BA3ABAF" w14:textId="20C155F8" w:rsidR="00624AD0" w:rsidRDefault="00624AD0" w:rsidP="007749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Hlk198562311"/>
      <w:bookmarkEnd w:id="3"/>
      <w:r>
        <w:rPr>
          <w:rFonts w:ascii="Times New Roman" w:hAnsi="Times New Roman"/>
          <w:color w:val="000000"/>
          <w:sz w:val="28"/>
          <w:szCs w:val="28"/>
        </w:rPr>
        <w:t xml:space="preserve">Начиная с 2024 года Счетная палата Колпашевского района участвует в мероприятиях, проводимых Контрольно-счетной палатой Томской области. </w:t>
      </w:r>
    </w:p>
    <w:p w14:paraId="51C8A74C" w14:textId="0494B97A" w:rsidR="00A91C45" w:rsidRDefault="00774917" w:rsidP="002D6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_Hlk198819900"/>
      <w:bookmarkEnd w:id="4"/>
      <w:r>
        <w:rPr>
          <w:rFonts w:ascii="Times New Roman" w:hAnsi="Times New Roman"/>
          <w:color w:val="000000"/>
          <w:sz w:val="28"/>
          <w:szCs w:val="28"/>
        </w:rPr>
        <w:t>Возможность оперативного взаимодействия с Администрацией и Думой Колпашевского района, муниципальными образованиями Колпашевского района, правоохранительными органами позволяет наиболее качественно выполнять поставленные задачи при осуществлении контрольной деятельности Счётной палаты.</w:t>
      </w:r>
    </w:p>
    <w:p w14:paraId="589C3763" w14:textId="77777777" w:rsidR="005F6468" w:rsidRDefault="005F6468" w:rsidP="002D6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6A3FBE" w14:textId="439A61B1" w:rsidR="005F6468" w:rsidRDefault="005F6468" w:rsidP="005F64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Отчёт о деятельности Счётной палаты в 202</w:t>
      </w:r>
      <w:r w:rsidR="0074783C">
        <w:rPr>
          <w:rFonts w:ascii="Times New Roman" w:hAnsi="Times New Roman"/>
          <w:color w:val="000000"/>
          <w:sz w:val="28"/>
          <w:szCs w:val="28"/>
        </w:rPr>
        <w:t>5</w:t>
      </w:r>
      <w:r w:rsidRPr="00A91C45">
        <w:rPr>
          <w:rFonts w:ascii="Times New Roman" w:hAnsi="Times New Roman"/>
          <w:color w:val="000000"/>
          <w:sz w:val="28"/>
          <w:szCs w:val="28"/>
        </w:rPr>
        <w:t xml:space="preserve"> году утверждаю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C1C5973" w14:textId="77777777" w:rsidR="005F6468" w:rsidRDefault="005F6468" w:rsidP="005F64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2E9915" w14:textId="5CA806DF" w:rsidR="005F6468" w:rsidRDefault="005F6468" w:rsidP="002D6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5"/>
    <w:p w14:paraId="07EF9A46" w14:textId="68A0CB28" w:rsidR="00A91C45" w:rsidRPr="00A91C45" w:rsidRDefault="00A91C45" w:rsidP="00A91C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Председатель Счётной палаты</w:t>
      </w:r>
    </w:p>
    <w:p w14:paraId="756DFE6B" w14:textId="71A29163" w:rsidR="00D045F5" w:rsidRPr="00071CB6" w:rsidRDefault="00A91C45" w:rsidP="00001D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C45">
        <w:rPr>
          <w:rFonts w:ascii="Times New Roman" w:hAnsi="Times New Roman"/>
          <w:color w:val="000000"/>
          <w:sz w:val="28"/>
          <w:szCs w:val="28"/>
        </w:rPr>
        <w:t>Колпашевского района</w:t>
      </w:r>
      <w:r w:rsidR="009E3183">
        <w:rPr>
          <w:rFonts w:ascii="Times New Roman" w:hAnsi="Times New Roman"/>
          <w:color w:val="000000"/>
          <w:sz w:val="28"/>
          <w:szCs w:val="28"/>
        </w:rPr>
        <w:tab/>
      </w:r>
      <w:r w:rsidR="009E3183">
        <w:rPr>
          <w:rFonts w:ascii="Times New Roman" w:hAnsi="Times New Roman"/>
          <w:color w:val="000000"/>
          <w:sz w:val="28"/>
          <w:szCs w:val="28"/>
        </w:rPr>
        <w:tab/>
      </w:r>
      <w:r w:rsidR="009E3183">
        <w:rPr>
          <w:rFonts w:ascii="Times New Roman" w:hAnsi="Times New Roman"/>
          <w:color w:val="000000"/>
          <w:sz w:val="28"/>
          <w:szCs w:val="28"/>
        </w:rPr>
        <w:tab/>
      </w:r>
      <w:r w:rsidR="009E3183">
        <w:rPr>
          <w:rFonts w:ascii="Times New Roman" w:hAnsi="Times New Roman"/>
          <w:color w:val="000000"/>
          <w:sz w:val="28"/>
          <w:szCs w:val="28"/>
        </w:rPr>
        <w:tab/>
      </w:r>
      <w:r w:rsidR="009E3183">
        <w:rPr>
          <w:rFonts w:ascii="Times New Roman" w:hAnsi="Times New Roman"/>
          <w:color w:val="000000"/>
          <w:sz w:val="28"/>
          <w:szCs w:val="28"/>
        </w:rPr>
        <w:tab/>
      </w:r>
      <w:r w:rsidR="009E3183">
        <w:rPr>
          <w:rFonts w:ascii="Times New Roman" w:hAnsi="Times New Roman"/>
          <w:color w:val="000000"/>
          <w:sz w:val="28"/>
          <w:szCs w:val="28"/>
        </w:rPr>
        <w:tab/>
      </w:r>
      <w:r w:rsidR="009E3183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="009E3183">
        <w:rPr>
          <w:rFonts w:ascii="Times New Roman" w:hAnsi="Times New Roman"/>
          <w:color w:val="000000"/>
          <w:sz w:val="28"/>
          <w:szCs w:val="28"/>
        </w:rPr>
        <w:t>Н.М.Старикова</w:t>
      </w:r>
      <w:proofErr w:type="spellEnd"/>
    </w:p>
    <w:sectPr w:rsidR="00D045F5" w:rsidRPr="00071CB6" w:rsidSect="002D6367">
      <w:headerReference w:type="default" r:id="rId12"/>
      <w:footerReference w:type="default" r:id="rId13"/>
      <w:type w:val="continuous"/>
      <w:pgSz w:w="11906" w:h="16838"/>
      <w:pgMar w:top="1134" w:right="851" w:bottom="1134" w:left="1701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1BC7" w14:textId="77777777" w:rsidR="00A81873" w:rsidRDefault="00A81873" w:rsidP="002D6367">
      <w:pPr>
        <w:spacing w:after="0" w:line="240" w:lineRule="auto"/>
      </w:pPr>
      <w:r>
        <w:separator/>
      </w:r>
    </w:p>
  </w:endnote>
  <w:endnote w:type="continuationSeparator" w:id="0">
    <w:p w14:paraId="35BD2E3C" w14:textId="77777777" w:rsidR="00A81873" w:rsidRDefault="00A81873" w:rsidP="002D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191951"/>
      <w:docPartObj>
        <w:docPartGallery w:val="Page Numbers (Bottom of Page)"/>
        <w:docPartUnique/>
      </w:docPartObj>
    </w:sdtPr>
    <w:sdtEndPr/>
    <w:sdtContent>
      <w:p w14:paraId="2DC733E5" w14:textId="0B24E8A2" w:rsidR="002D6367" w:rsidRDefault="002D636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60A935" w14:textId="77777777" w:rsidR="002D6367" w:rsidRDefault="002D63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37A9" w14:textId="77777777" w:rsidR="00A81873" w:rsidRDefault="00A81873" w:rsidP="002D6367">
      <w:pPr>
        <w:spacing w:after="0" w:line="240" w:lineRule="auto"/>
      </w:pPr>
      <w:r>
        <w:separator/>
      </w:r>
    </w:p>
  </w:footnote>
  <w:footnote w:type="continuationSeparator" w:id="0">
    <w:p w14:paraId="3ADF8607" w14:textId="77777777" w:rsidR="00A81873" w:rsidRDefault="00A81873" w:rsidP="002D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39EB" w14:textId="05C16EAC" w:rsidR="002D6367" w:rsidRPr="002D6367" w:rsidRDefault="002D6367" w:rsidP="002D6367">
    <w:pPr>
      <w:pStyle w:val="a7"/>
      <w:jc w:val="right"/>
      <w:rPr>
        <w:i/>
        <w:iCs/>
      </w:rPr>
    </w:pPr>
    <w:r w:rsidRPr="002D6367">
      <w:rPr>
        <w:i/>
        <w:iCs/>
      </w:rPr>
      <w:t>Отчёт о деятельности Счётной палаты Колпашевского района в 202</w:t>
    </w:r>
    <w:r w:rsidR="009B096B">
      <w:rPr>
        <w:i/>
        <w:iCs/>
      </w:rPr>
      <w:t>5</w:t>
    </w:r>
    <w:r w:rsidRPr="002D6367">
      <w:rPr>
        <w:i/>
        <w:iCs/>
      </w:rPr>
      <w:t xml:space="preserve"> году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30C"/>
    <w:multiLevelType w:val="hybridMultilevel"/>
    <w:tmpl w:val="1B76C0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3E2FEC"/>
    <w:multiLevelType w:val="hybridMultilevel"/>
    <w:tmpl w:val="00867DB6"/>
    <w:lvl w:ilvl="0" w:tplc="85408E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3B96E40"/>
    <w:multiLevelType w:val="hybridMultilevel"/>
    <w:tmpl w:val="3558E440"/>
    <w:lvl w:ilvl="0" w:tplc="EFECF2E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4AD1217"/>
    <w:multiLevelType w:val="hybridMultilevel"/>
    <w:tmpl w:val="22F8CC82"/>
    <w:lvl w:ilvl="0" w:tplc="1BB0813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0D64C9"/>
    <w:multiLevelType w:val="hybridMultilevel"/>
    <w:tmpl w:val="BD2E44B2"/>
    <w:lvl w:ilvl="0" w:tplc="EF1C83A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D62564"/>
    <w:multiLevelType w:val="hybridMultilevel"/>
    <w:tmpl w:val="710C41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8B5B6E"/>
    <w:multiLevelType w:val="hybridMultilevel"/>
    <w:tmpl w:val="B1801242"/>
    <w:lvl w:ilvl="0" w:tplc="DA48A5AA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8F13EA8"/>
    <w:multiLevelType w:val="hybridMultilevel"/>
    <w:tmpl w:val="6850395A"/>
    <w:lvl w:ilvl="0" w:tplc="B49684CC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1C62C1"/>
    <w:multiLevelType w:val="hybridMultilevel"/>
    <w:tmpl w:val="137AA58C"/>
    <w:lvl w:ilvl="0" w:tplc="2FCAA100">
      <w:start w:val="1"/>
      <w:numFmt w:val="decimal"/>
      <w:lvlText w:val="%1"/>
      <w:lvlJc w:val="left"/>
      <w:pPr>
        <w:ind w:left="1984" w:hanging="127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6F5037"/>
    <w:multiLevelType w:val="multilevel"/>
    <w:tmpl w:val="0CEC2B9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EFB40A0"/>
    <w:multiLevelType w:val="hybridMultilevel"/>
    <w:tmpl w:val="E43EA3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536D61"/>
    <w:multiLevelType w:val="hybridMultilevel"/>
    <w:tmpl w:val="BB80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08F0"/>
    <w:multiLevelType w:val="hybridMultilevel"/>
    <w:tmpl w:val="40D6BC12"/>
    <w:lvl w:ilvl="0" w:tplc="1E5A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010FC6"/>
    <w:multiLevelType w:val="hybridMultilevel"/>
    <w:tmpl w:val="24F2AD62"/>
    <w:lvl w:ilvl="0" w:tplc="050E2798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7494654"/>
    <w:multiLevelType w:val="hybridMultilevel"/>
    <w:tmpl w:val="95E6F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F6547"/>
    <w:multiLevelType w:val="hybridMultilevel"/>
    <w:tmpl w:val="2E4460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293F79"/>
    <w:multiLevelType w:val="hybridMultilevel"/>
    <w:tmpl w:val="6D1C5F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0C2DF0"/>
    <w:multiLevelType w:val="hybridMultilevel"/>
    <w:tmpl w:val="C4C8C622"/>
    <w:lvl w:ilvl="0" w:tplc="81BA1B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EB63486"/>
    <w:multiLevelType w:val="hybridMultilevel"/>
    <w:tmpl w:val="8C0AEE44"/>
    <w:lvl w:ilvl="0" w:tplc="D206D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042081"/>
    <w:multiLevelType w:val="hybridMultilevel"/>
    <w:tmpl w:val="7DF6B8F0"/>
    <w:lvl w:ilvl="0" w:tplc="5C823FA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4F5356"/>
    <w:multiLevelType w:val="hybridMultilevel"/>
    <w:tmpl w:val="C81A3CC0"/>
    <w:lvl w:ilvl="0" w:tplc="6E042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AF06F9"/>
    <w:multiLevelType w:val="hybridMultilevel"/>
    <w:tmpl w:val="4DC88994"/>
    <w:lvl w:ilvl="0" w:tplc="24B8EA9E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476939EB"/>
    <w:multiLevelType w:val="hybridMultilevel"/>
    <w:tmpl w:val="5A0AB0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ED34AFB"/>
    <w:multiLevelType w:val="hybridMultilevel"/>
    <w:tmpl w:val="8B3E5A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CE695C"/>
    <w:multiLevelType w:val="hybridMultilevel"/>
    <w:tmpl w:val="755CCE6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1B4777"/>
    <w:multiLevelType w:val="hybridMultilevel"/>
    <w:tmpl w:val="0CD49B2E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9759D1"/>
    <w:multiLevelType w:val="hybridMultilevel"/>
    <w:tmpl w:val="361ADCBE"/>
    <w:lvl w:ilvl="0" w:tplc="02EC5AC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830AF4"/>
    <w:multiLevelType w:val="hybridMultilevel"/>
    <w:tmpl w:val="68805A84"/>
    <w:lvl w:ilvl="0" w:tplc="DD92E9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13595"/>
    <w:multiLevelType w:val="hybridMultilevel"/>
    <w:tmpl w:val="5808A020"/>
    <w:lvl w:ilvl="0" w:tplc="A0BE2B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56A00AE"/>
    <w:multiLevelType w:val="hybridMultilevel"/>
    <w:tmpl w:val="8E1E7F04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55B12048"/>
    <w:multiLevelType w:val="hybridMultilevel"/>
    <w:tmpl w:val="689CA5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64153ED"/>
    <w:multiLevelType w:val="hybridMultilevel"/>
    <w:tmpl w:val="EF7C0B30"/>
    <w:lvl w:ilvl="0" w:tplc="EE82A01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9F0117C"/>
    <w:multiLevelType w:val="hybridMultilevel"/>
    <w:tmpl w:val="0582BE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7854BA"/>
    <w:multiLevelType w:val="hybridMultilevel"/>
    <w:tmpl w:val="5E8EFA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DB6DDF"/>
    <w:multiLevelType w:val="hybridMultilevel"/>
    <w:tmpl w:val="F38E3CFE"/>
    <w:lvl w:ilvl="0" w:tplc="BD92FE86">
      <w:start w:val="3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1EF4E20"/>
    <w:multiLevelType w:val="hybridMultilevel"/>
    <w:tmpl w:val="B28E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A6F16"/>
    <w:multiLevelType w:val="hybridMultilevel"/>
    <w:tmpl w:val="D57ECB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9D3D17"/>
    <w:multiLevelType w:val="hybridMultilevel"/>
    <w:tmpl w:val="D14ABA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99401A"/>
    <w:multiLevelType w:val="hybridMultilevel"/>
    <w:tmpl w:val="1EA2803E"/>
    <w:lvl w:ilvl="0" w:tplc="674658D4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0F06E27"/>
    <w:multiLevelType w:val="hybridMultilevel"/>
    <w:tmpl w:val="6AAA5870"/>
    <w:lvl w:ilvl="0" w:tplc="2D9CFD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9648F6"/>
    <w:multiLevelType w:val="hybridMultilevel"/>
    <w:tmpl w:val="B47445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DC0E6F"/>
    <w:multiLevelType w:val="hybridMultilevel"/>
    <w:tmpl w:val="AA40D5AA"/>
    <w:lvl w:ilvl="0" w:tplc="1F3CB5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D2955F2"/>
    <w:multiLevelType w:val="multilevel"/>
    <w:tmpl w:val="C69013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33"/>
  </w:num>
  <w:num w:numId="5">
    <w:abstractNumId w:val="20"/>
  </w:num>
  <w:num w:numId="6">
    <w:abstractNumId w:val="36"/>
  </w:num>
  <w:num w:numId="7">
    <w:abstractNumId w:val="24"/>
  </w:num>
  <w:num w:numId="8">
    <w:abstractNumId w:val="23"/>
  </w:num>
  <w:num w:numId="9">
    <w:abstractNumId w:val="10"/>
  </w:num>
  <w:num w:numId="10">
    <w:abstractNumId w:val="15"/>
  </w:num>
  <w:num w:numId="11">
    <w:abstractNumId w:val="5"/>
  </w:num>
  <w:num w:numId="12">
    <w:abstractNumId w:val="30"/>
  </w:num>
  <w:num w:numId="13">
    <w:abstractNumId w:val="32"/>
  </w:num>
  <w:num w:numId="14">
    <w:abstractNumId w:val="40"/>
  </w:num>
  <w:num w:numId="15">
    <w:abstractNumId w:val="25"/>
  </w:num>
  <w:num w:numId="16">
    <w:abstractNumId w:val="37"/>
  </w:num>
  <w:num w:numId="17">
    <w:abstractNumId w:val="22"/>
  </w:num>
  <w:num w:numId="18">
    <w:abstractNumId w:val="0"/>
  </w:num>
  <w:num w:numId="19">
    <w:abstractNumId w:val="4"/>
  </w:num>
  <w:num w:numId="20">
    <w:abstractNumId w:val="26"/>
  </w:num>
  <w:num w:numId="21">
    <w:abstractNumId w:val="2"/>
  </w:num>
  <w:num w:numId="22">
    <w:abstractNumId w:val="19"/>
  </w:num>
  <w:num w:numId="23">
    <w:abstractNumId w:val="3"/>
  </w:num>
  <w:num w:numId="24">
    <w:abstractNumId w:val="8"/>
  </w:num>
  <w:num w:numId="25">
    <w:abstractNumId w:val="6"/>
  </w:num>
  <w:num w:numId="26">
    <w:abstractNumId w:val="16"/>
  </w:num>
  <w:num w:numId="27">
    <w:abstractNumId w:val="17"/>
  </w:num>
  <w:num w:numId="28">
    <w:abstractNumId w:val="18"/>
  </w:num>
  <w:num w:numId="29">
    <w:abstractNumId w:val="9"/>
  </w:num>
  <w:num w:numId="30">
    <w:abstractNumId w:val="38"/>
  </w:num>
  <w:num w:numId="31">
    <w:abstractNumId w:val="39"/>
  </w:num>
  <w:num w:numId="32">
    <w:abstractNumId w:val="31"/>
  </w:num>
  <w:num w:numId="33">
    <w:abstractNumId w:val="28"/>
  </w:num>
  <w:num w:numId="34">
    <w:abstractNumId w:val="29"/>
  </w:num>
  <w:num w:numId="35">
    <w:abstractNumId w:val="14"/>
  </w:num>
  <w:num w:numId="36">
    <w:abstractNumId w:val="35"/>
  </w:num>
  <w:num w:numId="37">
    <w:abstractNumId w:val="1"/>
  </w:num>
  <w:num w:numId="38">
    <w:abstractNumId w:val="41"/>
  </w:num>
  <w:num w:numId="39">
    <w:abstractNumId w:val="21"/>
  </w:num>
  <w:num w:numId="40">
    <w:abstractNumId w:val="27"/>
  </w:num>
  <w:num w:numId="41">
    <w:abstractNumId w:val="42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16"/>
    <w:rsid w:val="00001D2D"/>
    <w:rsid w:val="0000596F"/>
    <w:rsid w:val="000179E6"/>
    <w:rsid w:val="0004749B"/>
    <w:rsid w:val="00060841"/>
    <w:rsid w:val="00071CB6"/>
    <w:rsid w:val="0009672E"/>
    <w:rsid w:val="000A0F4E"/>
    <w:rsid w:val="000A28A1"/>
    <w:rsid w:val="000B0DB0"/>
    <w:rsid w:val="000B18DE"/>
    <w:rsid w:val="000C4C03"/>
    <w:rsid w:val="000E5866"/>
    <w:rsid w:val="000E69C7"/>
    <w:rsid w:val="000F7A3F"/>
    <w:rsid w:val="001034BA"/>
    <w:rsid w:val="001239AD"/>
    <w:rsid w:val="00126137"/>
    <w:rsid w:val="00150118"/>
    <w:rsid w:val="0015367C"/>
    <w:rsid w:val="00182009"/>
    <w:rsid w:val="001A3206"/>
    <w:rsid w:val="001D4817"/>
    <w:rsid w:val="001E4B77"/>
    <w:rsid w:val="001F71A8"/>
    <w:rsid w:val="00213420"/>
    <w:rsid w:val="00220FDA"/>
    <w:rsid w:val="00236048"/>
    <w:rsid w:val="00242B28"/>
    <w:rsid w:val="0026251D"/>
    <w:rsid w:val="00280D16"/>
    <w:rsid w:val="002913E5"/>
    <w:rsid w:val="002C30AE"/>
    <w:rsid w:val="002D6367"/>
    <w:rsid w:val="002D692B"/>
    <w:rsid w:val="002E369E"/>
    <w:rsid w:val="002F0232"/>
    <w:rsid w:val="003030EB"/>
    <w:rsid w:val="003120D2"/>
    <w:rsid w:val="00320D28"/>
    <w:rsid w:val="00324ABE"/>
    <w:rsid w:val="00357068"/>
    <w:rsid w:val="00367DEA"/>
    <w:rsid w:val="00393BE7"/>
    <w:rsid w:val="003B0E24"/>
    <w:rsid w:val="003C5CE1"/>
    <w:rsid w:val="0040137C"/>
    <w:rsid w:val="00413D69"/>
    <w:rsid w:val="0043408D"/>
    <w:rsid w:val="004D36DB"/>
    <w:rsid w:val="00505172"/>
    <w:rsid w:val="00515365"/>
    <w:rsid w:val="0052232B"/>
    <w:rsid w:val="00535980"/>
    <w:rsid w:val="00535ABE"/>
    <w:rsid w:val="00554A62"/>
    <w:rsid w:val="005B627F"/>
    <w:rsid w:val="005F01A1"/>
    <w:rsid w:val="005F0BEA"/>
    <w:rsid w:val="005F6468"/>
    <w:rsid w:val="006076A4"/>
    <w:rsid w:val="006229AE"/>
    <w:rsid w:val="00624AD0"/>
    <w:rsid w:val="00626E7A"/>
    <w:rsid w:val="00655E45"/>
    <w:rsid w:val="00665BFB"/>
    <w:rsid w:val="00667992"/>
    <w:rsid w:val="0067663B"/>
    <w:rsid w:val="0068628B"/>
    <w:rsid w:val="006B4BEE"/>
    <w:rsid w:val="006C0C90"/>
    <w:rsid w:val="006E7920"/>
    <w:rsid w:val="00723619"/>
    <w:rsid w:val="00734196"/>
    <w:rsid w:val="0074783C"/>
    <w:rsid w:val="0075126F"/>
    <w:rsid w:val="00762EF3"/>
    <w:rsid w:val="00774917"/>
    <w:rsid w:val="007764A6"/>
    <w:rsid w:val="00781BF0"/>
    <w:rsid w:val="007916C1"/>
    <w:rsid w:val="007B61DE"/>
    <w:rsid w:val="007D1E09"/>
    <w:rsid w:val="00807A9B"/>
    <w:rsid w:val="00824A90"/>
    <w:rsid w:val="008349AF"/>
    <w:rsid w:val="008A109E"/>
    <w:rsid w:val="008D6E6A"/>
    <w:rsid w:val="008F71C4"/>
    <w:rsid w:val="00906EF6"/>
    <w:rsid w:val="00910C3A"/>
    <w:rsid w:val="00922642"/>
    <w:rsid w:val="00932AD5"/>
    <w:rsid w:val="00950368"/>
    <w:rsid w:val="00972564"/>
    <w:rsid w:val="0097465C"/>
    <w:rsid w:val="00974830"/>
    <w:rsid w:val="00992C3A"/>
    <w:rsid w:val="009B096B"/>
    <w:rsid w:val="009E3183"/>
    <w:rsid w:val="009E702E"/>
    <w:rsid w:val="00A3451B"/>
    <w:rsid w:val="00A66C12"/>
    <w:rsid w:val="00A81873"/>
    <w:rsid w:val="00A91C45"/>
    <w:rsid w:val="00AA770B"/>
    <w:rsid w:val="00AB320A"/>
    <w:rsid w:val="00AC497C"/>
    <w:rsid w:val="00AE5D4F"/>
    <w:rsid w:val="00AF6282"/>
    <w:rsid w:val="00B06059"/>
    <w:rsid w:val="00B064E8"/>
    <w:rsid w:val="00B43900"/>
    <w:rsid w:val="00B6526F"/>
    <w:rsid w:val="00B949D2"/>
    <w:rsid w:val="00BC33A0"/>
    <w:rsid w:val="00BE47F1"/>
    <w:rsid w:val="00BE7671"/>
    <w:rsid w:val="00C02BC5"/>
    <w:rsid w:val="00C53C09"/>
    <w:rsid w:val="00C77EF5"/>
    <w:rsid w:val="00CA478C"/>
    <w:rsid w:val="00CB5B68"/>
    <w:rsid w:val="00CC1884"/>
    <w:rsid w:val="00CC322B"/>
    <w:rsid w:val="00D045F5"/>
    <w:rsid w:val="00D150E2"/>
    <w:rsid w:val="00D757C6"/>
    <w:rsid w:val="00DC0661"/>
    <w:rsid w:val="00DD4706"/>
    <w:rsid w:val="00DF7B6C"/>
    <w:rsid w:val="00E4726A"/>
    <w:rsid w:val="00E520EB"/>
    <w:rsid w:val="00EB2410"/>
    <w:rsid w:val="00EF0E84"/>
    <w:rsid w:val="00F035A4"/>
    <w:rsid w:val="00F103CA"/>
    <w:rsid w:val="00F35976"/>
    <w:rsid w:val="00F53C67"/>
    <w:rsid w:val="00F53FC1"/>
    <w:rsid w:val="00F54626"/>
    <w:rsid w:val="00F96E95"/>
    <w:rsid w:val="00FD0C7B"/>
    <w:rsid w:val="00FE4608"/>
    <w:rsid w:val="00FE48F5"/>
    <w:rsid w:val="00FF35D6"/>
    <w:rsid w:val="00FF49E1"/>
    <w:rsid w:val="00FF507C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38A1"/>
  <w15:chartTrackingRefBased/>
  <w15:docId w15:val="{4B4E3E03-BA48-4113-8627-07C30CD1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ой1,mcd_гпи_маркиров.список ур.1,List Paragraph,Абзац списка МКД,ТЗ список,Абзац списка литеральный,Булет1,1Булет,it_List1,Список дефисный,Bullet 1,Use Case List Paragraph,Маркер,FooterText,numbered,4.2.2,Table-Normal,Bullet List"/>
    <w:basedOn w:val="a"/>
    <w:link w:val="a4"/>
    <w:uiPriority w:val="34"/>
    <w:qFormat/>
    <w:rsid w:val="001D48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uiPriority w:val="99"/>
    <w:rsid w:val="00A91C45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A91C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A91C45"/>
    <w:rPr>
      <w:rFonts w:ascii="Arial" w:hAnsi="Arial" w:cs="Arial" w:hint="default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91C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1C4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91C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1C45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rsid w:val="00A91C45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20">
    <w:name w:val="Body Text Indent 2"/>
    <w:basedOn w:val="a"/>
    <w:link w:val="2"/>
    <w:semiHidden/>
    <w:rsid w:val="00A91C4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u w:val="single"/>
    </w:rPr>
  </w:style>
  <w:style w:type="character" w:customStyle="1" w:styleId="21">
    <w:name w:val="Основной текст 2 Знак"/>
    <w:basedOn w:val="a0"/>
    <w:link w:val="22"/>
    <w:uiPriority w:val="99"/>
    <w:rsid w:val="00A91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unhideWhenUsed/>
    <w:rsid w:val="00A91C4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uiPriority w:val="99"/>
    <w:rsid w:val="00A91C45"/>
    <w:rPr>
      <w:color w:val="0000FF"/>
      <w:u w:val="single"/>
    </w:rPr>
  </w:style>
  <w:style w:type="paragraph" w:customStyle="1" w:styleId="ac">
    <w:basedOn w:val="a"/>
    <w:next w:val="ad"/>
    <w:uiPriority w:val="99"/>
    <w:unhideWhenUsed/>
    <w:rsid w:val="00A91C45"/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91C45"/>
    <w:rPr>
      <w:rFonts w:ascii="Times New Roman" w:hAnsi="Times New Roman"/>
      <w:sz w:val="24"/>
      <w:szCs w:val="24"/>
    </w:rPr>
  </w:style>
  <w:style w:type="paragraph" w:styleId="ae">
    <w:name w:val="Body Text"/>
    <w:basedOn w:val="a"/>
    <w:link w:val="af"/>
    <w:rsid w:val="00A91C45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A91C4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A91C45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A91C45"/>
    <w:rPr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A91C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A91C45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A91C45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A9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211">
    <w:name w:val="11211 Знак"/>
    <w:link w:val="112110"/>
    <w:locked/>
    <w:rsid w:val="00A91C45"/>
    <w:rPr>
      <w:rFonts w:eastAsia="Calibri"/>
      <w:sz w:val="24"/>
      <w:szCs w:val="24"/>
    </w:rPr>
  </w:style>
  <w:style w:type="paragraph" w:customStyle="1" w:styleId="112110">
    <w:name w:val="11211"/>
    <w:basedOn w:val="a"/>
    <w:link w:val="11211"/>
    <w:rsid w:val="00A91C45"/>
    <w:pPr>
      <w:spacing w:after="0" w:line="240" w:lineRule="auto"/>
      <w:ind w:firstLine="709"/>
      <w:jc w:val="both"/>
    </w:pPr>
    <w:rPr>
      <w:rFonts w:asciiTheme="minorHAnsi" w:eastAsia="Calibri" w:hAnsiTheme="minorHAnsi" w:cstheme="minorBidi"/>
      <w:sz w:val="24"/>
      <w:szCs w:val="24"/>
      <w:lang w:eastAsia="en-US"/>
    </w:rPr>
  </w:style>
  <w:style w:type="character" w:customStyle="1" w:styleId="apple-style-span">
    <w:name w:val="apple-style-span"/>
    <w:rsid w:val="00A91C4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A91C45"/>
  </w:style>
  <w:style w:type="paragraph" w:customStyle="1" w:styleId="style4">
    <w:name w:val="style4"/>
    <w:basedOn w:val="a"/>
    <w:rsid w:val="00A91C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A91C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A91C45"/>
  </w:style>
  <w:style w:type="paragraph" w:styleId="3">
    <w:name w:val="Body Text 3"/>
    <w:basedOn w:val="a"/>
    <w:link w:val="30"/>
    <w:uiPriority w:val="99"/>
    <w:unhideWhenUsed/>
    <w:rsid w:val="00A91C4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91C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Emphasis"/>
    <w:uiPriority w:val="20"/>
    <w:qFormat/>
    <w:rsid w:val="00A91C45"/>
    <w:rPr>
      <w:i/>
      <w:iCs/>
    </w:rPr>
  </w:style>
  <w:style w:type="character" w:customStyle="1" w:styleId="a4">
    <w:name w:val="Абзац списка Знак"/>
    <w:aliases w:val="список мой1 Знак,mcd_гпи_маркиров.список ур.1 Знак,List Paragraph Знак,Абзац списка МКД Знак,ТЗ список Знак,Абзац списка литеральный Знак,Булет1 Знак,1Булет Знак,it_List1 Знак,Список дефисный Знак,Bullet 1 Знак,Маркер Знак,4.2.2 Знак"/>
    <w:link w:val="a3"/>
    <w:uiPriority w:val="34"/>
    <w:qFormat/>
    <w:locked/>
    <w:rsid w:val="00515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A0F4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latakolp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46661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FCF9F-BF7C-4970-8A20-82C7040C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20</Pages>
  <Words>7036</Words>
  <Characters>40108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2026-05-14T07:11:00Z</cp:lastPrinted>
  <dcterms:created xsi:type="dcterms:W3CDTF">2026-05-05T06:59:00Z</dcterms:created>
  <dcterms:modified xsi:type="dcterms:W3CDTF">2026-05-14T09:29:00Z</dcterms:modified>
</cp:coreProperties>
</file>